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5FD" w:rsidRPr="001205FD" w:rsidRDefault="001205FD" w:rsidP="001205FD">
      <w:pPr>
        <w:pStyle w:val="afb"/>
        <w:spacing w:before="120" w:afterLines="50" w:after="120"/>
        <w:ind w:left="2270" w:hangingChars="942" w:hanging="2270"/>
        <w:rPr>
          <w:rFonts w:ascii="Arial" w:hAnsi="Arial" w:cs="Arial"/>
          <w:bCs/>
        </w:rPr>
      </w:pPr>
      <w:bookmarkStart w:id="0" w:name="Title"/>
      <w:bookmarkEnd w:id="0"/>
      <w:r w:rsidRPr="001205FD">
        <w:rPr>
          <w:rFonts w:ascii="Arial" w:hAnsi="Arial" w:cs="Arial"/>
          <w:bCs/>
        </w:rPr>
        <w:t>3GPP TSG-RAN WG4 Meeting # 96-e</w:t>
      </w:r>
      <w:r w:rsidRPr="001205FD" w:rsidDel="00277FAB">
        <w:rPr>
          <w:rFonts w:ascii="Arial" w:hAnsi="Arial" w:cs="Arial"/>
          <w:bCs/>
        </w:rPr>
        <w:t xml:space="preserve"> </w:t>
      </w:r>
      <w:r w:rsidRPr="001205FD">
        <w:rPr>
          <w:rFonts w:ascii="Arial" w:hAnsi="Arial" w:cs="Arial"/>
          <w:bCs/>
        </w:rPr>
        <w:tab/>
      </w:r>
      <w:r>
        <w:rPr>
          <w:rFonts w:ascii="Arial" w:hAnsi="Arial" w:cs="Arial" w:hint="eastAsia"/>
          <w:bCs/>
        </w:rPr>
        <w:tab/>
        <w:t xml:space="preserve">                       </w:t>
      </w:r>
      <w:r w:rsidRPr="001205FD">
        <w:rPr>
          <w:rFonts w:ascii="Arial" w:hAnsi="Arial" w:cs="Arial"/>
          <w:bCs/>
        </w:rPr>
        <w:t>R4-200</w:t>
      </w:r>
      <w:r w:rsidR="00912B92">
        <w:rPr>
          <w:rFonts w:ascii="Arial" w:hAnsi="Arial" w:cs="Arial" w:hint="eastAsia"/>
          <w:bCs/>
        </w:rPr>
        <w:t>9828</w:t>
      </w:r>
    </w:p>
    <w:p w:rsidR="001205FD" w:rsidRPr="001205FD" w:rsidRDefault="001205FD" w:rsidP="001205FD">
      <w:pPr>
        <w:pStyle w:val="afb"/>
        <w:spacing w:before="120" w:afterLines="50" w:after="120"/>
        <w:ind w:left="2270" w:hangingChars="942" w:hanging="2270"/>
        <w:rPr>
          <w:rFonts w:ascii="Arial" w:hAnsi="Arial" w:cs="Arial"/>
          <w:bCs/>
        </w:rPr>
      </w:pPr>
      <w:r w:rsidRPr="001205FD">
        <w:rPr>
          <w:rFonts w:ascii="Arial" w:hAnsi="Arial" w:cs="Arial"/>
          <w:bCs/>
        </w:rPr>
        <w:t>Electronic Meeting, 17-28 Aug.,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F6ADF">
        <w:rPr>
          <w:rFonts w:ascii="Arial" w:hAnsi="Arial" w:cs="Arial" w:hint="eastAsia"/>
          <w:b w:val="0"/>
        </w:rPr>
        <w:t>O</w:t>
      </w:r>
      <w:r w:rsidR="00962D49" w:rsidRPr="00962D49">
        <w:rPr>
          <w:rFonts w:ascii="Arial" w:hAnsi="Arial" w:cs="Arial"/>
          <w:b w:val="0"/>
        </w:rPr>
        <w:t xml:space="preserve">n </w:t>
      </w:r>
      <w:r w:rsidR="00E64AB0" w:rsidRPr="00E64AB0">
        <w:rPr>
          <w:rFonts w:ascii="Arial" w:hAnsi="Arial" w:cs="Arial"/>
          <w:b w:val="0"/>
        </w:rPr>
        <w:t>general requirement and additional requirement for NR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72949">
        <w:rPr>
          <w:rFonts w:ascii="Arial" w:hAnsi="Arial" w:cs="Arial" w:hint="eastAsia"/>
          <w:b w:val="0"/>
        </w:rPr>
        <w:t>7.3.</w:t>
      </w:r>
      <w:r w:rsidR="007147FA">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5F3C89" w:rsidRPr="00AE07E2" w:rsidRDefault="00752C60" w:rsidP="00AE07E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C0354" w:rsidRPr="00AE07E2" w:rsidRDefault="005F3C89" w:rsidP="004C4C7A">
      <w:pPr>
        <w:spacing w:before="0" w:after="120"/>
        <w:jc w:val="left"/>
        <w:rPr>
          <w:sz w:val="20"/>
        </w:rPr>
      </w:pPr>
      <w:r>
        <w:rPr>
          <w:rFonts w:hint="eastAsia"/>
          <w:sz w:val="20"/>
        </w:rPr>
        <w:t xml:space="preserve">In RAN4#95e meeting, </w:t>
      </w:r>
      <w:r w:rsidR="004C0354">
        <w:rPr>
          <w:rFonts w:hint="eastAsia"/>
          <w:sz w:val="20"/>
        </w:rPr>
        <w:t>the applicability of general requirements</w:t>
      </w:r>
      <w:r w:rsidR="005F3519">
        <w:rPr>
          <w:rFonts w:hint="eastAsia"/>
          <w:sz w:val="20"/>
        </w:rPr>
        <w:t xml:space="preserve"> </w:t>
      </w:r>
      <w:r w:rsidR="008F7723">
        <w:rPr>
          <w:rFonts w:hint="eastAsia"/>
          <w:sz w:val="20"/>
        </w:rPr>
        <w:t xml:space="preserve">for NR V2X </w:t>
      </w:r>
      <w:r w:rsidR="005F3519">
        <w:rPr>
          <w:rFonts w:hint="eastAsia"/>
          <w:sz w:val="20"/>
        </w:rPr>
        <w:t>was discussed [1].</w:t>
      </w:r>
      <w:r w:rsidR="008F7723">
        <w:rPr>
          <w:rFonts w:hint="eastAsia"/>
          <w:sz w:val="20"/>
        </w:rPr>
        <w:t xml:space="preserve"> The general requirements and additional requirements are required to be clarified for NR V2X. This contribution will provide our view on this topic.</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F7723" w:rsidRDefault="008F7723" w:rsidP="00F66732">
      <w:pPr>
        <w:spacing w:before="0" w:after="120"/>
        <w:jc w:val="left"/>
        <w:rPr>
          <w:sz w:val="20"/>
        </w:rPr>
      </w:pPr>
      <w:r>
        <w:rPr>
          <w:rFonts w:hint="eastAsia"/>
          <w:sz w:val="20"/>
        </w:rPr>
        <w:t>In RAN4#95e meeting, the following options</w:t>
      </w:r>
      <w:r w:rsidR="00275313">
        <w:rPr>
          <w:rFonts w:hint="eastAsia"/>
          <w:sz w:val="20"/>
        </w:rPr>
        <w:t xml:space="preserve"> regarding general requirements and additional requirements</w:t>
      </w:r>
      <w:r>
        <w:rPr>
          <w:rFonts w:hint="eastAsia"/>
          <w:sz w:val="20"/>
        </w:rPr>
        <w:t xml:space="preserve"> were discussed based on [1]:</w:t>
      </w:r>
    </w:p>
    <w:p w:rsidR="00D73D97" w:rsidRDefault="00D73D97" w:rsidP="006D1B68">
      <w:pPr>
        <w:snapToGrid w:val="0"/>
        <w:spacing w:before="0" w:after="0"/>
        <w:rPr>
          <w:sz w:val="20"/>
        </w:rPr>
      </w:pPr>
      <w:r w:rsidRPr="005A77CE">
        <w:rPr>
          <w:noProof/>
          <w:sz w:val="20"/>
          <w:szCs w:val="20"/>
          <w:lang w:val="en-US"/>
        </w:rPr>
        <mc:AlternateContent>
          <mc:Choice Requires="wps">
            <w:drawing>
              <wp:inline distT="0" distB="0" distL="0" distR="0" wp14:anchorId="4CEA0464" wp14:editId="48B7460C">
                <wp:extent cx="6120765" cy="1028065"/>
                <wp:effectExtent l="0" t="0" r="13335" b="1968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065"/>
                        </a:xfrm>
                        <a:prstGeom prst="rect">
                          <a:avLst/>
                        </a:prstGeom>
                        <a:solidFill>
                          <a:srgbClr val="FFFFFF"/>
                        </a:solidFill>
                        <a:ln w="9525">
                          <a:solidFill>
                            <a:srgbClr val="000000"/>
                          </a:solidFill>
                          <a:miter lim="800000"/>
                          <a:headEnd/>
                          <a:tailEnd/>
                        </a:ln>
                        <a:effectLst/>
                      </wps:spPr>
                      <wps:txbx>
                        <w:txbxContent>
                          <w:p w:rsidR="008F7723" w:rsidRPr="008F7723" w:rsidRDefault="008F7723" w:rsidP="008F7723">
                            <w:pPr>
                              <w:snapToGrid w:val="0"/>
                              <w:spacing w:before="40" w:after="40"/>
                              <w:rPr>
                                <w:sz w:val="20"/>
                                <w:szCs w:val="20"/>
                              </w:rPr>
                            </w:pPr>
                            <w:r w:rsidRPr="008F7723">
                              <w:rPr>
                                <w:sz w:val="20"/>
                                <w:szCs w:val="20"/>
                              </w:rPr>
                              <w:t>Issue #2-1-1: General part in TS</w:t>
                            </w:r>
                          </w:p>
                          <w:p w:rsidR="008F7723" w:rsidRPr="008F7723" w:rsidRDefault="008F7723" w:rsidP="008F7723">
                            <w:pPr>
                              <w:numPr>
                                <w:ilvl w:val="0"/>
                                <w:numId w:val="41"/>
                              </w:numPr>
                              <w:tabs>
                                <w:tab w:val="clear" w:pos="720"/>
                                <w:tab w:val="num" w:pos="300"/>
                              </w:tabs>
                              <w:snapToGrid w:val="0"/>
                              <w:spacing w:before="40" w:after="40"/>
                              <w:ind w:leftChars="-29" w:left="299"/>
                              <w:rPr>
                                <w:sz w:val="20"/>
                                <w:szCs w:val="20"/>
                              </w:rPr>
                            </w:pPr>
                            <w:r w:rsidRPr="008F7723">
                              <w:rPr>
                                <w:sz w:val="20"/>
                                <w:szCs w:val="20"/>
                              </w:rPr>
                              <w:t xml:space="preserve">Option 1 </w:t>
                            </w:r>
                          </w:p>
                          <w:p w:rsidR="008F7723" w:rsidRPr="008F7723" w:rsidRDefault="008F7723" w:rsidP="008F7723">
                            <w:pPr>
                              <w:numPr>
                                <w:ilvl w:val="1"/>
                                <w:numId w:val="41"/>
                              </w:numPr>
                              <w:snapToGrid w:val="0"/>
                              <w:spacing w:before="40" w:after="40"/>
                              <w:rPr>
                                <w:sz w:val="20"/>
                                <w:szCs w:val="20"/>
                              </w:rPr>
                            </w:pPr>
                            <w:r w:rsidRPr="008F7723">
                              <w:rPr>
                                <w:sz w:val="20"/>
                                <w:szCs w:val="20"/>
                              </w:rPr>
                              <w:t>General requirements apply to V2X (suffix E) unless otherwise stated, so V2X requirements (suffix E) are written only when the requirement differs from the general. This eliminates suffix E clauses.</w:t>
                            </w:r>
                          </w:p>
                          <w:p w:rsidR="008F7723" w:rsidRPr="008F7723" w:rsidRDefault="008F7723" w:rsidP="008F7723">
                            <w:pPr>
                              <w:numPr>
                                <w:ilvl w:val="0"/>
                                <w:numId w:val="41"/>
                              </w:numPr>
                              <w:tabs>
                                <w:tab w:val="clear" w:pos="720"/>
                                <w:tab w:val="num" w:pos="300"/>
                              </w:tabs>
                              <w:snapToGrid w:val="0"/>
                              <w:spacing w:before="40" w:after="40"/>
                              <w:ind w:leftChars="-29" w:left="299"/>
                              <w:rPr>
                                <w:sz w:val="20"/>
                                <w:szCs w:val="20"/>
                              </w:rPr>
                            </w:pPr>
                            <w:r w:rsidRPr="008F7723">
                              <w:rPr>
                                <w:sz w:val="20"/>
                                <w:szCs w:val="20"/>
                              </w:rPr>
                              <w:t>Option 2</w:t>
                            </w:r>
                          </w:p>
                          <w:p w:rsidR="008F7723" w:rsidRPr="008F7723" w:rsidRDefault="008F7723" w:rsidP="008F7723">
                            <w:pPr>
                              <w:numPr>
                                <w:ilvl w:val="1"/>
                                <w:numId w:val="41"/>
                              </w:numPr>
                              <w:snapToGrid w:val="0"/>
                              <w:spacing w:before="40" w:after="40"/>
                              <w:rPr>
                                <w:sz w:val="20"/>
                                <w:szCs w:val="20"/>
                              </w:rPr>
                            </w:pPr>
                            <w:r w:rsidRPr="008F7723">
                              <w:rPr>
                                <w:sz w:val="20"/>
                                <w:szCs w:val="20"/>
                              </w:rPr>
                              <w:t>For pedestrian-V2X UEs, both the general core requirements and suffix E core requirements apply</w:t>
                            </w:r>
                          </w:p>
                          <w:p w:rsidR="008F7723" w:rsidRPr="008F7723" w:rsidRDefault="008F7723" w:rsidP="008F7723">
                            <w:pPr>
                              <w:numPr>
                                <w:ilvl w:val="1"/>
                                <w:numId w:val="41"/>
                              </w:numPr>
                              <w:snapToGrid w:val="0"/>
                              <w:spacing w:before="40" w:after="40"/>
                              <w:rPr>
                                <w:sz w:val="20"/>
                                <w:szCs w:val="20"/>
                              </w:rPr>
                            </w:pPr>
                            <w:r w:rsidRPr="008F7723">
                              <w:rPr>
                                <w:sz w:val="20"/>
                                <w:szCs w:val="20"/>
                              </w:rPr>
                              <w:t xml:space="preserve">For vehicular UEs supporting the only the NR-V2X </w:t>
                            </w:r>
                            <w:proofErr w:type="spellStart"/>
                            <w:r w:rsidRPr="008F7723">
                              <w:rPr>
                                <w:sz w:val="20"/>
                                <w:szCs w:val="20"/>
                              </w:rPr>
                              <w:t>sidelink</w:t>
                            </w:r>
                            <w:proofErr w:type="spellEnd"/>
                            <w:r w:rsidRPr="008F7723">
                              <w:rPr>
                                <w:sz w:val="20"/>
                                <w:szCs w:val="20"/>
                              </w:rPr>
                              <w:t>, the suffix E core requirements apply</w:t>
                            </w:r>
                          </w:p>
                          <w:p w:rsidR="00D73D97" w:rsidRPr="008F7723" w:rsidRDefault="008F7723" w:rsidP="008F7723">
                            <w:pPr>
                              <w:numPr>
                                <w:ilvl w:val="1"/>
                                <w:numId w:val="41"/>
                              </w:numPr>
                              <w:snapToGrid w:val="0"/>
                              <w:spacing w:before="40" w:after="40"/>
                              <w:rPr>
                                <w:sz w:val="20"/>
                                <w:szCs w:val="20"/>
                              </w:rPr>
                            </w:pPr>
                            <w:r w:rsidRPr="008F7723">
                              <w:rPr>
                                <w:sz w:val="20"/>
                                <w:szCs w:val="20"/>
                              </w:rPr>
                              <w:t>Note: At this time the terms ‘vehicular UE’ and ‘pedestrian UE’ have not been defined in the requirements section of the TR, however we anticipate in future this may change.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">
                <v:textbox style="mso-fit-shape-to-text:t">
                  <w:txbxContent>
                    <w:p w:rsidR="008F7723" w:rsidRPr="008F7723" w:rsidRDefault="008F7723" w:rsidP="008F7723">
                      <w:pPr>
                        <w:snapToGrid w:val="0"/>
                        <w:spacing w:before="40" w:after="40"/>
                        <w:rPr>
                          <w:sz w:val="20"/>
                          <w:szCs w:val="20"/>
                        </w:rPr>
                      </w:pPr>
                      <w:r w:rsidRPr="008F7723">
                        <w:rPr>
                          <w:sz w:val="20"/>
                          <w:szCs w:val="20"/>
                        </w:rPr>
                        <w:t>Issue #2-1-1: General part in TS</w:t>
                      </w:r>
                    </w:p>
                    <w:p w:rsidR="008F7723" w:rsidRPr="008F7723" w:rsidRDefault="008F7723" w:rsidP="008F7723">
                      <w:pPr>
                        <w:numPr>
                          <w:ilvl w:val="0"/>
                          <w:numId w:val="41"/>
                        </w:numPr>
                        <w:tabs>
                          <w:tab w:val="clear" w:pos="720"/>
                          <w:tab w:val="num" w:pos="300"/>
                        </w:tabs>
                        <w:snapToGrid w:val="0"/>
                        <w:spacing w:before="40" w:after="40"/>
                        <w:ind w:leftChars="-29" w:left="299"/>
                        <w:rPr>
                          <w:sz w:val="20"/>
                          <w:szCs w:val="20"/>
                        </w:rPr>
                      </w:pPr>
                      <w:r w:rsidRPr="008F7723">
                        <w:rPr>
                          <w:sz w:val="20"/>
                          <w:szCs w:val="20"/>
                        </w:rPr>
                        <w:t xml:space="preserve">Option 1 </w:t>
                      </w:r>
                    </w:p>
                    <w:p w:rsidR="008F7723" w:rsidRPr="008F7723" w:rsidRDefault="008F7723" w:rsidP="008F7723">
                      <w:pPr>
                        <w:numPr>
                          <w:ilvl w:val="1"/>
                          <w:numId w:val="41"/>
                        </w:numPr>
                        <w:snapToGrid w:val="0"/>
                        <w:spacing w:before="40" w:after="40"/>
                        <w:rPr>
                          <w:sz w:val="20"/>
                          <w:szCs w:val="20"/>
                        </w:rPr>
                      </w:pPr>
                      <w:r w:rsidRPr="008F7723">
                        <w:rPr>
                          <w:sz w:val="20"/>
                          <w:szCs w:val="20"/>
                        </w:rPr>
                        <w:t>General requirements apply to V2X (suffix E) unless otherwise stated, so V2X requirements (suffix E) are written only when the requirement differs from the general. This eliminates suffix E clauses.</w:t>
                      </w:r>
                    </w:p>
                    <w:p w:rsidR="008F7723" w:rsidRPr="008F7723" w:rsidRDefault="008F7723" w:rsidP="008F7723">
                      <w:pPr>
                        <w:numPr>
                          <w:ilvl w:val="0"/>
                          <w:numId w:val="41"/>
                        </w:numPr>
                        <w:tabs>
                          <w:tab w:val="clear" w:pos="720"/>
                          <w:tab w:val="num" w:pos="300"/>
                        </w:tabs>
                        <w:snapToGrid w:val="0"/>
                        <w:spacing w:before="40" w:after="40"/>
                        <w:ind w:leftChars="-29" w:left="299"/>
                        <w:rPr>
                          <w:sz w:val="20"/>
                          <w:szCs w:val="20"/>
                        </w:rPr>
                      </w:pPr>
                      <w:r w:rsidRPr="008F7723">
                        <w:rPr>
                          <w:sz w:val="20"/>
                          <w:szCs w:val="20"/>
                        </w:rPr>
                        <w:t>Option 2</w:t>
                      </w:r>
                    </w:p>
                    <w:p w:rsidR="008F7723" w:rsidRPr="008F7723" w:rsidRDefault="008F7723" w:rsidP="008F7723">
                      <w:pPr>
                        <w:numPr>
                          <w:ilvl w:val="1"/>
                          <w:numId w:val="41"/>
                        </w:numPr>
                        <w:snapToGrid w:val="0"/>
                        <w:spacing w:before="40" w:after="40"/>
                        <w:rPr>
                          <w:sz w:val="20"/>
                          <w:szCs w:val="20"/>
                        </w:rPr>
                      </w:pPr>
                      <w:r w:rsidRPr="008F7723">
                        <w:rPr>
                          <w:sz w:val="20"/>
                          <w:szCs w:val="20"/>
                        </w:rPr>
                        <w:t>For pedestrian-V2X UEs, both the general core requirements and suffix E core requirements apply</w:t>
                      </w:r>
                    </w:p>
                    <w:p w:rsidR="008F7723" w:rsidRPr="008F7723" w:rsidRDefault="008F7723" w:rsidP="008F7723">
                      <w:pPr>
                        <w:numPr>
                          <w:ilvl w:val="1"/>
                          <w:numId w:val="41"/>
                        </w:numPr>
                        <w:snapToGrid w:val="0"/>
                        <w:spacing w:before="40" w:after="40"/>
                        <w:rPr>
                          <w:sz w:val="20"/>
                          <w:szCs w:val="20"/>
                        </w:rPr>
                      </w:pPr>
                      <w:r w:rsidRPr="008F7723">
                        <w:rPr>
                          <w:sz w:val="20"/>
                          <w:szCs w:val="20"/>
                        </w:rPr>
                        <w:t xml:space="preserve">For vehicular UEs supporting the only the NR-V2X </w:t>
                      </w:r>
                      <w:proofErr w:type="spellStart"/>
                      <w:r w:rsidRPr="008F7723">
                        <w:rPr>
                          <w:sz w:val="20"/>
                          <w:szCs w:val="20"/>
                        </w:rPr>
                        <w:t>sidelink</w:t>
                      </w:r>
                      <w:proofErr w:type="spellEnd"/>
                      <w:r w:rsidRPr="008F7723">
                        <w:rPr>
                          <w:sz w:val="20"/>
                          <w:szCs w:val="20"/>
                        </w:rPr>
                        <w:t>, the suffix E core requirements apply</w:t>
                      </w:r>
                    </w:p>
                    <w:p w:rsidR="00D73D97" w:rsidRPr="008F7723" w:rsidRDefault="008F7723" w:rsidP="008F7723">
                      <w:pPr>
                        <w:numPr>
                          <w:ilvl w:val="1"/>
                          <w:numId w:val="41"/>
                        </w:numPr>
                        <w:snapToGrid w:val="0"/>
                        <w:spacing w:before="40" w:after="40"/>
                        <w:rPr>
                          <w:sz w:val="20"/>
                          <w:szCs w:val="20"/>
                        </w:rPr>
                      </w:pPr>
                      <w:r w:rsidRPr="008F7723">
                        <w:rPr>
                          <w:sz w:val="20"/>
                          <w:szCs w:val="20"/>
                        </w:rPr>
                        <w:t>Note: At this time the terms ‘vehicular UE’ and ‘pedestrian UE’ have not been defined in the requirements section of the TR, however we anticipate in future this may change.</w:t>
                      </w:r>
                    </w:p>
                  </w:txbxContent>
                </v:textbox>
                <w10:anchorlock/>
              </v:shape>
            </w:pict>
          </mc:Fallback>
        </mc:AlternateContent>
      </w:r>
    </w:p>
    <w:p w:rsidR="008F7723" w:rsidRDefault="008F7723" w:rsidP="00F66732">
      <w:pPr>
        <w:spacing w:before="0" w:after="120"/>
        <w:jc w:val="left"/>
        <w:rPr>
          <w:sz w:val="20"/>
        </w:rPr>
      </w:pPr>
    </w:p>
    <w:p w:rsidR="00275313" w:rsidRDefault="00A64F58" w:rsidP="00F66732">
      <w:pPr>
        <w:spacing w:before="0" w:after="120"/>
        <w:jc w:val="left"/>
        <w:rPr>
          <w:sz w:val="20"/>
        </w:rPr>
      </w:pPr>
      <w:r>
        <w:rPr>
          <w:rFonts w:hint="eastAsia"/>
          <w:sz w:val="20"/>
        </w:rPr>
        <w:t>As per TS 38.101-1 Section 4.3, the following description that explains the relationship between general requirements and addition requirements is provided as follows:</w:t>
      </w:r>
    </w:p>
    <w:p w:rsidR="00782A4E" w:rsidRPr="00A64F58" w:rsidRDefault="00A64F58" w:rsidP="00EF0924">
      <w:pPr>
        <w:spacing w:before="0" w:after="120"/>
        <w:ind w:leftChars="200" w:left="420"/>
        <w:jc w:val="left"/>
        <w:rPr>
          <w:i/>
          <w:sz w:val="20"/>
        </w:rPr>
      </w:pPr>
      <w:r w:rsidRPr="00A64F58">
        <w:rPr>
          <w:i/>
          <w:sz w:val="20"/>
        </w:rPr>
        <w:t>A terminal which supports the above features needs to meet both the general requirements and the additional requirement applicable to the additional clause (suffix A, B, C, D and E) in clauses 5, 6 and 7. Where there is a difference in requirement between the general requirements and the additional clause requirements (suffix A, B, C, D and E) in clauses 5, 6 and 7, the tighter requirements are applicable unless stated otherwise in the additional clause.</w:t>
      </w:r>
    </w:p>
    <w:p w:rsidR="00275313" w:rsidRDefault="00782A4E" w:rsidP="00F66732">
      <w:pPr>
        <w:spacing w:before="0" w:after="120"/>
        <w:jc w:val="left"/>
        <w:rPr>
          <w:sz w:val="20"/>
          <w:szCs w:val="20"/>
        </w:rPr>
      </w:pPr>
      <w:r>
        <w:rPr>
          <w:rFonts w:hint="eastAsia"/>
          <w:sz w:val="20"/>
        </w:rPr>
        <w:t xml:space="preserve">The first issue to be clarified is whether and how to define the terms </w:t>
      </w:r>
      <w:r>
        <w:rPr>
          <w:sz w:val="20"/>
          <w:szCs w:val="20"/>
        </w:rPr>
        <w:t xml:space="preserve">“vehicular </w:t>
      </w:r>
      <w:r w:rsidR="00EF0924">
        <w:rPr>
          <w:rFonts w:hint="eastAsia"/>
          <w:sz w:val="20"/>
          <w:szCs w:val="20"/>
        </w:rPr>
        <w:t xml:space="preserve">V2X </w:t>
      </w:r>
      <w:r>
        <w:rPr>
          <w:sz w:val="20"/>
          <w:szCs w:val="20"/>
        </w:rPr>
        <w:t xml:space="preserve">UE” and “pedestrian </w:t>
      </w:r>
      <w:r w:rsidR="00EF0924">
        <w:rPr>
          <w:rFonts w:hint="eastAsia"/>
          <w:sz w:val="20"/>
          <w:szCs w:val="20"/>
        </w:rPr>
        <w:t xml:space="preserve">V2X </w:t>
      </w:r>
      <w:r>
        <w:rPr>
          <w:sz w:val="20"/>
          <w:szCs w:val="20"/>
        </w:rPr>
        <w:t>UE”</w:t>
      </w:r>
      <w:r>
        <w:rPr>
          <w:rFonts w:hint="eastAsia"/>
          <w:sz w:val="20"/>
          <w:szCs w:val="20"/>
        </w:rPr>
        <w:t xml:space="preserve">.  This should be dependent on the real scenarios for V2X. </w:t>
      </w:r>
      <w:r w:rsidR="00A97D9B">
        <w:rPr>
          <w:rFonts w:hint="eastAsia"/>
          <w:sz w:val="20"/>
          <w:szCs w:val="20"/>
        </w:rPr>
        <w:t xml:space="preserve">In real scenarios, vehicular </w:t>
      </w:r>
      <w:r w:rsidR="00305D1E">
        <w:rPr>
          <w:rFonts w:hint="eastAsia"/>
          <w:sz w:val="20"/>
          <w:szCs w:val="20"/>
        </w:rPr>
        <w:t xml:space="preserve">V2X </w:t>
      </w:r>
      <w:r w:rsidR="00A97D9B">
        <w:rPr>
          <w:rFonts w:hint="eastAsia"/>
          <w:sz w:val="20"/>
          <w:szCs w:val="20"/>
        </w:rPr>
        <w:t>UE</w:t>
      </w:r>
      <w:r w:rsidR="007D44B2">
        <w:rPr>
          <w:rFonts w:hint="eastAsia"/>
          <w:sz w:val="20"/>
          <w:szCs w:val="20"/>
        </w:rPr>
        <w:t>s</w:t>
      </w:r>
      <w:r w:rsidR="00A97D9B">
        <w:rPr>
          <w:rFonts w:hint="eastAsia"/>
          <w:sz w:val="20"/>
          <w:szCs w:val="20"/>
        </w:rPr>
        <w:t xml:space="preserve"> have the demand to communicate </w:t>
      </w:r>
      <w:r w:rsidR="00EF0924">
        <w:rPr>
          <w:rFonts w:hint="eastAsia"/>
          <w:sz w:val="20"/>
          <w:szCs w:val="20"/>
        </w:rPr>
        <w:t xml:space="preserve">with </w:t>
      </w:r>
      <w:r w:rsidR="00A97D9B">
        <w:rPr>
          <w:rFonts w:hint="eastAsia"/>
          <w:sz w:val="20"/>
          <w:szCs w:val="20"/>
        </w:rPr>
        <w:t xml:space="preserve">pedestrian </w:t>
      </w:r>
      <w:r w:rsidR="00305D1E">
        <w:rPr>
          <w:rFonts w:hint="eastAsia"/>
          <w:sz w:val="20"/>
          <w:szCs w:val="20"/>
        </w:rPr>
        <w:t xml:space="preserve">V2X </w:t>
      </w:r>
      <w:r w:rsidR="00A97D9B">
        <w:rPr>
          <w:rFonts w:hint="eastAsia"/>
          <w:sz w:val="20"/>
          <w:szCs w:val="20"/>
        </w:rPr>
        <w:t>U</w:t>
      </w:r>
      <w:r w:rsidR="00A97D9B" w:rsidRPr="002F7B2A">
        <w:rPr>
          <w:rFonts w:hint="eastAsia"/>
          <w:color w:val="000000" w:themeColor="text1"/>
          <w:sz w:val="20"/>
          <w:szCs w:val="20"/>
        </w:rPr>
        <w:t xml:space="preserve">Es. However, </w:t>
      </w:r>
      <w:r w:rsidR="005F6ECB" w:rsidRPr="002F7B2A">
        <w:rPr>
          <w:rFonts w:hint="eastAsia"/>
          <w:color w:val="000000" w:themeColor="text1"/>
          <w:sz w:val="20"/>
          <w:szCs w:val="20"/>
        </w:rPr>
        <w:t xml:space="preserve">vehicular </w:t>
      </w:r>
      <w:r w:rsidR="00305D1E" w:rsidRPr="002F7B2A">
        <w:rPr>
          <w:rFonts w:hint="eastAsia"/>
          <w:color w:val="000000" w:themeColor="text1"/>
          <w:sz w:val="20"/>
          <w:szCs w:val="20"/>
        </w:rPr>
        <w:t xml:space="preserve">V2X </w:t>
      </w:r>
      <w:r w:rsidR="005F6ECB" w:rsidRPr="002F7B2A">
        <w:rPr>
          <w:rFonts w:hint="eastAsia"/>
          <w:color w:val="000000" w:themeColor="text1"/>
          <w:sz w:val="20"/>
          <w:szCs w:val="20"/>
        </w:rPr>
        <w:t xml:space="preserve">UEs and pedestrian </w:t>
      </w:r>
      <w:r w:rsidR="00305D1E" w:rsidRPr="002F7B2A">
        <w:rPr>
          <w:rFonts w:hint="eastAsia"/>
          <w:color w:val="000000" w:themeColor="text1"/>
          <w:sz w:val="20"/>
          <w:szCs w:val="20"/>
        </w:rPr>
        <w:t xml:space="preserve">V2X </w:t>
      </w:r>
      <w:r w:rsidR="005F6ECB" w:rsidRPr="002F7B2A">
        <w:rPr>
          <w:rFonts w:hint="eastAsia"/>
          <w:color w:val="000000" w:themeColor="text1"/>
          <w:sz w:val="20"/>
          <w:szCs w:val="20"/>
        </w:rPr>
        <w:t>UEs have the different hardware implementations such that the different requirements should apply.</w:t>
      </w:r>
      <w:r w:rsidR="00624C2E" w:rsidRPr="002F7B2A">
        <w:rPr>
          <w:rFonts w:hint="eastAsia"/>
          <w:color w:val="000000" w:themeColor="text1"/>
          <w:sz w:val="20"/>
          <w:szCs w:val="20"/>
        </w:rPr>
        <w:t xml:space="preserve"> For </w:t>
      </w:r>
      <w:r w:rsidR="00624C2E">
        <w:rPr>
          <w:rFonts w:hint="eastAsia"/>
          <w:sz w:val="20"/>
          <w:szCs w:val="20"/>
        </w:rPr>
        <w:t>example, the cable loss</w:t>
      </w:r>
      <w:r w:rsidR="004659AC">
        <w:rPr>
          <w:rFonts w:hint="eastAsia"/>
          <w:sz w:val="20"/>
          <w:szCs w:val="20"/>
        </w:rPr>
        <w:t xml:space="preserve"> caused by longer cable distributed in vehicular </w:t>
      </w:r>
      <w:r w:rsidR="00305D1E">
        <w:rPr>
          <w:rFonts w:hint="eastAsia"/>
          <w:sz w:val="20"/>
          <w:szCs w:val="20"/>
        </w:rPr>
        <w:t xml:space="preserve">V2X </w:t>
      </w:r>
      <w:r w:rsidR="004659AC">
        <w:rPr>
          <w:rFonts w:hint="eastAsia"/>
          <w:sz w:val="20"/>
          <w:szCs w:val="20"/>
        </w:rPr>
        <w:t>UEs needs to be considered in</w:t>
      </w:r>
      <w:r w:rsidR="00624C2E">
        <w:rPr>
          <w:rFonts w:hint="eastAsia"/>
          <w:sz w:val="20"/>
          <w:szCs w:val="20"/>
        </w:rPr>
        <w:t xml:space="preserve"> the RENSENS requirements</w:t>
      </w:r>
      <w:r w:rsidR="004659AC">
        <w:rPr>
          <w:rFonts w:hint="eastAsia"/>
          <w:sz w:val="20"/>
          <w:szCs w:val="20"/>
        </w:rPr>
        <w:t xml:space="preserve">, but it </w:t>
      </w:r>
      <w:r w:rsidR="004659AC">
        <w:rPr>
          <w:sz w:val="20"/>
          <w:szCs w:val="20"/>
        </w:rPr>
        <w:t>is not required in pedestrian</w:t>
      </w:r>
      <w:r w:rsidR="004659AC">
        <w:rPr>
          <w:rFonts w:hint="eastAsia"/>
          <w:sz w:val="20"/>
          <w:szCs w:val="20"/>
        </w:rPr>
        <w:t xml:space="preserve"> </w:t>
      </w:r>
      <w:r w:rsidR="00305D1E">
        <w:rPr>
          <w:rFonts w:hint="eastAsia"/>
          <w:sz w:val="20"/>
          <w:szCs w:val="20"/>
        </w:rPr>
        <w:t xml:space="preserve">V2X </w:t>
      </w:r>
      <w:r w:rsidR="004659AC">
        <w:rPr>
          <w:rFonts w:hint="eastAsia"/>
          <w:sz w:val="20"/>
          <w:szCs w:val="20"/>
        </w:rPr>
        <w:t>UEs. So the d</w:t>
      </w:r>
      <w:r w:rsidR="00751DDC">
        <w:rPr>
          <w:rFonts w:hint="eastAsia"/>
          <w:sz w:val="20"/>
          <w:szCs w:val="20"/>
        </w:rPr>
        <w:t xml:space="preserve">ifferent types of V2X UE, i.e. vehicular </w:t>
      </w:r>
      <w:r w:rsidR="00EF0924">
        <w:rPr>
          <w:rFonts w:hint="eastAsia"/>
          <w:sz w:val="20"/>
          <w:szCs w:val="20"/>
        </w:rPr>
        <w:t xml:space="preserve">V2X </w:t>
      </w:r>
      <w:r w:rsidR="00751DDC">
        <w:rPr>
          <w:rFonts w:hint="eastAsia"/>
          <w:sz w:val="20"/>
          <w:szCs w:val="20"/>
        </w:rPr>
        <w:t>UE and p</w:t>
      </w:r>
      <w:r w:rsidR="004659AC">
        <w:rPr>
          <w:rFonts w:hint="eastAsia"/>
          <w:sz w:val="20"/>
          <w:szCs w:val="20"/>
        </w:rPr>
        <w:t xml:space="preserve">edestrian </w:t>
      </w:r>
      <w:r w:rsidR="00EF0924">
        <w:rPr>
          <w:rFonts w:hint="eastAsia"/>
          <w:sz w:val="20"/>
          <w:szCs w:val="20"/>
        </w:rPr>
        <w:t xml:space="preserve">V2X </w:t>
      </w:r>
      <w:r w:rsidR="004659AC">
        <w:rPr>
          <w:rFonts w:hint="eastAsia"/>
          <w:sz w:val="20"/>
          <w:szCs w:val="20"/>
        </w:rPr>
        <w:t>UE</w:t>
      </w:r>
      <w:r w:rsidR="00751DDC">
        <w:rPr>
          <w:rFonts w:hint="eastAsia"/>
          <w:sz w:val="20"/>
          <w:szCs w:val="20"/>
        </w:rPr>
        <w:t xml:space="preserve">, </w:t>
      </w:r>
      <w:r w:rsidR="004659AC">
        <w:rPr>
          <w:rFonts w:hint="eastAsia"/>
          <w:sz w:val="20"/>
          <w:szCs w:val="20"/>
        </w:rPr>
        <w:t xml:space="preserve">should be first </w:t>
      </w:r>
      <w:r w:rsidR="00751DDC">
        <w:rPr>
          <w:rFonts w:hint="eastAsia"/>
          <w:sz w:val="20"/>
          <w:szCs w:val="20"/>
        </w:rPr>
        <w:t>clarified and defined</w:t>
      </w:r>
      <w:r w:rsidR="00B74365">
        <w:rPr>
          <w:rFonts w:hint="eastAsia"/>
          <w:sz w:val="20"/>
          <w:szCs w:val="20"/>
        </w:rPr>
        <w:t xml:space="preserve"> based on the real scenarios for V2X</w:t>
      </w:r>
      <w:r w:rsidR="00751DDC">
        <w:rPr>
          <w:rFonts w:hint="eastAsia"/>
          <w:sz w:val="20"/>
          <w:szCs w:val="20"/>
        </w:rPr>
        <w:t xml:space="preserve">. </w:t>
      </w:r>
    </w:p>
    <w:p w:rsidR="00275313" w:rsidRDefault="00CE553D" w:rsidP="00CE553D">
      <w:pPr>
        <w:rPr>
          <w:b/>
          <w:sz w:val="20"/>
          <w:szCs w:val="20"/>
        </w:rPr>
      </w:pPr>
      <w:r w:rsidRPr="00CE553D">
        <w:rPr>
          <w:rFonts w:hint="eastAsia"/>
          <w:b/>
          <w:sz w:val="20"/>
          <w:szCs w:val="20"/>
        </w:rPr>
        <w:t>Proposal</w:t>
      </w:r>
      <w:r>
        <w:rPr>
          <w:rFonts w:hint="eastAsia"/>
          <w:b/>
          <w:sz w:val="20"/>
          <w:szCs w:val="20"/>
        </w:rPr>
        <w:t xml:space="preserve"> 1</w:t>
      </w:r>
      <w:r w:rsidRPr="00CE553D">
        <w:rPr>
          <w:rFonts w:hint="eastAsia"/>
          <w:b/>
          <w:sz w:val="20"/>
          <w:szCs w:val="20"/>
        </w:rPr>
        <w:t xml:space="preserve">: </w:t>
      </w:r>
      <w:r w:rsidR="00B74365" w:rsidRPr="00B74365">
        <w:rPr>
          <w:rFonts w:hint="eastAsia"/>
          <w:b/>
          <w:sz w:val="20"/>
          <w:szCs w:val="20"/>
        </w:rPr>
        <w:t xml:space="preserve">Different types of V2X UE, i.e. vehicular </w:t>
      </w:r>
      <w:r w:rsidR="00EF0924">
        <w:rPr>
          <w:rFonts w:hint="eastAsia"/>
          <w:b/>
          <w:sz w:val="20"/>
          <w:szCs w:val="20"/>
        </w:rPr>
        <w:t xml:space="preserve">V2X </w:t>
      </w:r>
      <w:r w:rsidR="00B74365" w:rsidRPr="00B74365">
        <w:rPr>
          <w:rFonts w:hint="eastAsia"/>
          <w:b/>
          <w:sz w:val="20"/>
          <w:szCs w:val="20"/>
        </w:rPr>
        <w:t xml:space="preserve">UE and pedestrian </w:t>
      </w:r>
      <w:r w:rsidR="00EF0924">
        <w:rPr>
          <w:rFonts w:hint="eastAsia"/>
          <w:b/>
          <w:sz w:val="20"/>
          <w:szCs w:val="20"/>
        </w:rPr>
        <w:t xml:space="preserve">V2X </w:t>
      </w:r>
      <w:r w:rsidR="00B74365" w:rsidRPr="00B74365">
        <w:rPr>
          <w:rFonts w:hint="eastAsia"/>
          <w:b/>
          <w:sz w:val="20"/>
          <w:szCs w:val="20"/>
        </w:rPr>
        <w:t>UE, should be first clarified and defined</w:t>
      </w:r>
      <w:r w:rsidR="00FB2B1D">
        <w:rPr>
          <w:rFonts w:hint="eastAsia"/>
          <w:b/>
          <w:sz w:val="20"/>
          <w:szCs w:val="20"/>
        </w:rPr>
        <w:t xml:space="preserve"> based on the real scenarios for V2X.</w:t>
      </w:r>
    </w:p>
    <w:p w:rsidR="00FB2B1D" w:rsidRDefault="00FB2B1D" w:rsidP="00CE553D">
      <w:pPr>
        <w:rPr>
          <w:b/>
          <w:sz w:val="20"/>
          <w:szCs w:val="20"/>
        </w:rPr>
      </w:pPr>
    </w:p>
    <w:p w:rsidR="00FB2B1D" w:rsidRDefault="00FB2B1D" w:rsidP="00CE553D">
      <w:pPr>
        <w:rPr>
          <w:b/>
          <w:sz w:val="20"/>
          <w:szCs w:val="20"/>
        </w:rPr>
      </w:pPr>
    </w:p>
    <w:p w:rsidR="00A24253" w:rsidRPr="00C6454C" w:rsidRDefault="0079416C" w:rsidP="00CE553D">
      <w:pPr>
        <w:rPr>
          <w:sz w:val="20"/>
          <w:szCs w:val="20"/>
        </w:rPr>
      </w:pPr>
      <w:r>
        <w:rPr>
          <w:rFonts w:hint="eastAsia"/>
          <w:sz w:val="20"/>
          <w:szCs w:val="20"/>
        </w:rPr>
        <w:lastRenderedPageBreak/>
        <w:t>Given the</w:t>
      </w:r>
      <w:r w:rsidR="00FB2B1D">
        <w:rPr>
          <w:rFonts w:hint="eastAsia"/>
          <w:sz w:val="20"/>
          <w:szCs w:val="20"/>
        </w:rPr>
        <w:t xml:space="preserve"> different types of V2X UE</w:t>
      </w:r>
      <w:r>
        <w:rPr>
          <w:rFonts w:hint="eastAsia"/>
          <w:sz w:val="20"/>
          <w:szCs w:val="20"/>
        </w:rPr>
        <w:t xml:space="preserve"> characterized by different hardware implementations</w:t>
      </w:r>
      <w:r w:rsidR="00FB2B1D">
        <w:rPr>
          <w:rFonts w:hint="eastAsia"/>
          <w:sz w:val="20"/>
          <w:szCs w:val="20"/>
        </w:rPr>
        <w:t>, different requirements will apply respectively</w:t>
      </w:r>
      <w:r>
        <w:rPr>
          <w:rFonts w:hint="eastAsia"/>
          <w:sz w:val="20"/>
          <w:szCs w:val="20"/>
        </w:rPr>
        <w:t>.</w:t>
      </w:r>
      <w:r w:rsidR="00C34DC2">
        <w:rPr>
          <w:rFonts w:hint="eastAsia"/>
          <w:sz w:val="20"/>
          <w:szCs w:val="20"/>
        </w:rPr>
        <w:t xml:space="preserve"> T</w:t>
      </w:r>
      <w:r w:rsidR="00A66E30">
        <w:rPr>
          <w:rFonts w:hint="eastAsia"/>
          <w:sz w:val="20"/>
          <w:szCs w:val="20"/>
        </w:rPr>
        <w:t xml:space="preserve">he </w:t>
      </w:r>
      <w:r w:rsidR="00F90EF9">
        <w:rPr>
          <w:rFonts w:hint="eastAsia"/>
          <w:sz w:val="20"/>
          <w:szCs w:val="20"/>
        </w:rPr>
        <w:t xml:space="preserve">part of </w:t>
      </w:r>
      <w:r w:rsidR="00A66E30">
        <w:rPr>
          <w:rFonts w:hint="eastAsia"/>
          <w:sz w:val="20"/>
          <w:szCs w:val="20"/>
        </w:rPr>
        <w:t xml:space="preserve">additional requirements </w:t>
      </w:r>
      <w:r w:rsidR="0080016C">
        <w:rPr>
          <w:rFonts w:hint="eastAsia"/>
          <w:sz w:val="20"/>
          <w:szCs w:val="20"/>
        </w:rPr>
        <w:t>is</w:t>
      </w:r>
      <w:r w:rsidR="00F90EF9">
        <w:rPr>
          <w:rFonts w:hint="eastAsia"/>
          <w:sz w:val="20"/>
          <w:szCs w:val="20"/>
        </w:rPr>
        <w:t xml:space="preserve"> </w:t>
      </w:r>
      <w:r w:rsidR="0080016C">
        <w:rPr>
          <w:rFonts w:hint="eastAsia"/>
          <w:sz w:val="20"/>
          <w:szCs w:val="20"/>
        </w:rPr>
        <w:t xml:space="preserve">exclusively </w:t>
      </w:r>
      <w:r w:rsidR="00F90EF9">
        <w:rPr>
          <w:rFonts w:hint="eastAsia"/>
          <w:sz w:val="20"/>
          <w:szCs w:val="20"/>
        </w:rPr>
        <w:t xml:space="preserve">specified </w:t>
      </w:r>
      <w:r w:rsidR="00C34DC2">
        <w:rPr>
          <w:rFonts w:hint="eastAsia"/>
          <w:sz w:val="20"/>
          <w:szCs w:val="20"/>
        </w:rPr>
        <w:t xml:space="preserve">for NR V2X </w:t>
      </w:r>
      <w:r w:rsidR="0080016C">
        <w:rPr>
          <w:rFonts w:hint="eastAsia"/>
          <w:sz w:val="20"/>
          <w:szCs w:val="20"/>
        </w:rPr>
        <w:t xml:space="preserve">while the rest </w:t>
      </w:r>
      <w:r w:rsidR="000D30BC">
        <w:rPr>
          <w:rFonts w:hint="eastAsia"/>
          <w:sz w:val="20"/>
          <w:szCs w:val="20"/>
        </w:rPr>
        <w:t xml:space="preserve">directly </w:t>
      </w:r>
      <w:r w:rsidR="0080016C">
        <w:rPr>
          <w:rFonts w:hint="eastAsia"/>
          <w:sz w:val="20"/>
          <w:szCs w:val="20"/>
        </w:rPr>
        <w:t xml:space="preserve">reuse the general </w:t>
      </w:r>
      <w:r w:rsidR="0080016C">
        <w:rPr>
          <w:sz w:val="20"/>
          <w:szCs w:val="20"/>
        </w:rPr>
        <w:t>requirement</w:t>
      </w:r>
      <w:r w:rsidR="0080016C">
        <w:rPr>
          <w:rFonts w:hint="eastAsia"/>
          <w:sz w:val="20"/>
          <w:szCs w:val="20"/>
        </w:rPr>
        <w:t xml:space="preserve">s </w:t>
      </w:r>
      <w:r w:rsidR="000D30BC">
        <w:rPr>
          <w:rFonts w:hint="eastAsia"/>
          <w:sz w:val="20"/>
          <w:szCs w:val="20"/>
        </w:rPr>
        <w:t>of</w:t>
      </w:r>
      <w:r w:rsidR="00C02758">
        <w:rPr>
          <w:rFonts w:hint="eastAsia"/>
          <w:sz w:val="20"/>
          <w:szCs w:val="20"/>
        </w:rPr>
        <w:t xml:space="preserve"> NR </w:t>
      </w:r>
      <w:proofErr w:type="spellStart"/>
      <w:r w:rsidR="0080016C">
        <w:rPr>
          <w:rFonts w:hint="eastAsia"/>
          <w:sz w:val="20"/>
          <w:szCs w:val="20"/>
        </w:rPr>
        <w:t>U</w:t>
      </w:r>
      <w:r w:rsidR="0080016C" w:rsidRPr="00EB7879">
        <w:rPr>
          <w:rFonts w:hint="eastAsia"/>
          <w:sz w:val="20"/>
          <w:szCs w:val="20"/>
        </w:rPr>
        <w:t>u</w:t>
      </w:r>
      <w:proofErr w:type="spellEnd"/>
      <w:r w:rsidR="0080016C" w:rsidRPr="00EB7879">
        <w:rPr>
          <w:rFonts w:hint="eastAsia"/>
          <w:sz w:val="20"/>
          <w:szCs w:val="20"/>
        </w:rPr>
        <w:t>.</w:t>
      </w:r>
      <w:r w:rsidR="004545B9" w:rsidRPr="00EB7879">
        <w:rPr>
          <w:rFonts w:hint="eastAsia"/>
          <w:sz w:val="20"/>
          <w:szCs w:val="20"/>
        </w:rPr>
        <w:t xml:space="preserve"> </w:t>
      </w:r>
      <w:r w:rsidR="00C34DC2" w:rsidRPr="00EB7879">
        <w:rPr>
          <w:rFonts w:hint="eastAsia"/>
          <w:sz w:val="20"/>
          <w:szCs w:val="20"/>
        </w:rPr>
        <w:t xml:space="preserve">The common understanding is that the additional requirements specified in the specific suffix apply for the vehicular </w:t>
      </w:r>
      <w:r w:rsidR="00CE1CF1">
        <w:rPr>
          <w:rFonts w:hint="eastAsia"/>
          <w:sz w:val="20"/>
          <w:szCs w:val="20"/>
        </w:rPr>
        <w:t xml:space="preserve">V2X </w:t>
      </w:r>
      <w:r w:rsidR="00C34DC2" w:rsidRPr="00EB7879">
        <w:rPr>
          <w:rFonts w:hint="eastAsia"/>
          <w:sz w:val="20"/>
          <w:szCs w:val="20"/>
        </w:rPr>
        <w:t>UE</w:t>
      </w:r>
      <w:r w:rsidR="00F1741D">
        <w:rPr>
          <w:rFonts w:hint="eastAsia"/>
          <w:sz w:val="20"/>
          <w:szCs w:val="20"/>
        </w:rPr>
        <w:t xml:space="preserve"> at least</w:t>
      </w:r>
      <w:r w:rsidR="00F36758" w:rsidRPr="00EB7879">
        <w:rPr>
          <w:rFonts w:hint="eastAsia"/>
          <w:sz w:val="20"/>
          <w:szCs w:val="20"/>
        </w:rPr>
        <w:t xml:space="preserve">. </w:t>
      </w:r>
      <w:r w:rsidR="00A24253">
        <w:rPr>
          <w:rFonts w:hint="eastAsia"/>
          <w:sz w:val="20"/>
          <w:szCs w:val="20"/>
        </w:rPr>
        <w:t>In current specifications, the additional requirements are all particularly stated to be only applied to the terminal that supports this feature, e.g. NR V2X UE.</w:t>
      </w:r>
    </w:p>
    <w:p w:rsidR="00204170" w:rsidRDefault="00224D69" w:rsidP="00CE553D">
      <w:pPr>
        <w:rPr>
          <w:sz w:val="20"/>
          <w:szCs w:val="20"/>
        </w:rPr>
      </w:pPr>
      <w:r w:rsidRPr="00EB7879">
        <w:rPr>
          <w:rFonts w:hint="eastAsia"/>
          <w:sz w:val="20"/>
          <w:szCs w:val="20"/>
        </w:rPr>
        <w:t xml:space="preserve">When it comes to pedestrian </w:t>
      </w:r>
      <w:r w:rsidR="00CE1CF1">
        <w:rPr>
          <w:rFonts w:hint="eastAsia"/>
          <w:sz w:val="20"/>
          <w:szCs w:val="20"/>
        </w:rPr>
        <w:t xml:space="preserve">V2X </w:t>
      </w:r>
      <w:r w:rsidRPr="00EB7879">
        <w:rPr>
          <w:rFonts w:hint="eastAsia"/>
          <w:sz w:val="20"/>
          <w:szCs w:val="20"/>
        </w:rPr>
        <w:t>UE</w:t>
      </w:r>
      <w:r w:rsidR="002148C5">
        <w:rPr>
          <w:rFonts w:hint="eastAsia"/>
          <w:sz w:val="20"/>
          <w:szCs w:val="20"/>
        </w:rPr>
        <w:t>s</w:t>
      </w:r>
      <w:r w:rsidRPr="00EB7879">
        <w:rPr>
          <w:rFonts w:hint="eastAsia"/>
          <w:sz w:val="20"/>
          <w:szCs w:val="20"/>
        </w:rPr>
        <w:t xml:space="preserve">, </w:t>
      </w:r>
      <w:r w:rsidR="00204170">
        <w:rPr>
          <w:rFonts w:hint="eastAsia"/>
          <w:sz w:val="20"/>
          <w:szCs w:val="20"/>
        </w:rPr>
        <w:t>the tighter requirements should apply</w:t>
      </w:r>
      <w:r w:rsidR="00CE1CF1">
        <w:rPr>
          <w:rFonts w:hint="eastAsia"/>
          <w:sz w:val="20"/>
          <w:szCs w:val="20"/>
        </w:rPr>
        <w:t xml:space="preserve"> compared to vehicular V2X UEs</w:t>
      </w:r>
      <w:r w:rsidR="00204170">
        <w:rPr>
          <w:rFonts w:hint="eastAsia"/>
          <w:sz w:val="20"/>
          <w:szCs w:val="20"/>
        </w:rPr>
        <w:t xml:space="preserve">. In this case, </w:t>
      </w:r>
      <w:r w:rsidR="002148C5">
        <w:rPr>
          <w:rFonts w:hint="eastAsia"/>
          <w:sz w:val="20"/>
          <w:szCs w:val="20"/>
        </w:rPr>
        <w:t xml:space="preserve">both the general requirements and the additional requirements </w:t>
      </w:r>
      <w:r w:rsidR="00487B2A">
        <w:rPr>
          <w:rFonts w:hint="eastAsia"/>
          <w:sz w:val="20"/>
          <w:szCs w:val="20"/>
        </w:rPr>
        <w:t>can be</w:t>
      </w:r>
      <w:r w:rsidR="002148C5">
        <w:rPr>
          <w:rFonts w:hint="eastAsia"/>
          <w:sz w:val="20"/>
          <w:szCs w:val="20"/>
        </w:rPr>
        <w:t xml:space="preserve"> applied to </w:t>
      </w:r>
      <w:r w:rsidR="002148C5">
        <w:rPr>
          <w:sz w:val="20"/>
          <w:szCs w:val="20"/>
        </w:rPr>
        <w:t>pedestr</w:t>
      </w:r>
      <w:r w:rsidR="002148C5" w:rsidRPr="002148C5">
        <w:rPr>
          <w:sz w:val="20"/>
          <w:szCs w:val="20"/>
        </w:rPr>
        <w:t>ian</w:t>
      </w:r>
      <w:r w:rsidR="002148C5" w:rsidRPr="002148C5">
        <w:rPr>
          <w:rFonts w:hint="eastAsia"/>
          <w:sz w:val="20"/>
          <w:szCs w:val="20"/>
        </w:rPr>
        <w:t xml:space="preserve"> </w:t>
      </w:r>
      <w:r w:rsidR="00487B2A">
        <w:rPr>
          <w:rFonts w:hint="eastAsia"/>
          <w:sz w:val="20"/>
          <w:szCs w:val="20"/>
        </w:rPr>
        <w:t xml:space="preserve">V2X </w:t>
      </w:r>
      <w:r w:rsidR="002148C5" w:rsidRPr="002148C5">
        <w:rPr>
          <w:rFonts w:hint="eastAsia"/>
          <w:sz w:val="20"/>
          <w:szCs w:val="20"/>
        </w:rPr>
        <w:t xml:space="preserve">UEs. </w:t>
      </w:r>
      <w:r w:rsidR="002148C5" w:rsidRPr="002148C5">
        <w:rPr>
          <w:sz w:val="20"/>
          <w:szCs w:val="20"/>
        </w:rPr>
        <w:t>I</w:t>
      </w:r>
      <w:r w:rsidR="002148C5" w:rsidRPr="002148C5">
        <w:rPr>
          <w:rFonts w:hint="eastAsia"/>
          <w:sz w:val="20"/>
          <w:szCs w:val="20"/>
        </w:rPr>
        <w:t xml:space="preserve">f there is a difference </w:t>
      </w:r>
      <w:r w:rsidR="002148C5" w:rsidRPr="002148C5">
        <w:rPr>
          <w:sz w:val="20"/>
          <w:szCs w:val="20"/>
        </w:rPr>
        <w:t>in requirement between the general requirements and the additional</w:t>
      </w:r>
      <w:r w:rsidR="002F4684">
        <w:rPr>
          <w:rFonts w:hint="eastAsia"/>
          <w:sz w:val="20"/>
          <w:szCs w:val="20"/>
        </w:rPr>
        <w:t xml:space="preserve"> </w:t>
      </w:r>
      <w:r w:rsidR="002148C5" w:rsidRPr="002148C5">
        <w:rPr>
          <w:sz w:val="20"/>
          <w:szCs w:val="20"/>
        </w:rPr>
        <w:t>requirements</w:t>
      </w:r>
      <w:r w:rsidR="002148C5">
        <w:rPr>
          <w:rFonts w:hint="eastAsia"/>
          <w:sz w:val="20"/>
          <w:szCs w:val="20"/>
        </w:rPr>
        <w:t>, the tighter requirements will be applicable providing that there is no additional declaration.</w:t>
      </w:r>
      <w:r w:rsidR="008B6D92">
        <w:rPr>
          <w:rFonts w:hint="eastAsia"/>
          <w:sz w:val="20"/>
          <w:szCs w:val="20"/>
        </w:rPr>
        <w:t xml:space="preserve"> This is </w:t>
      </w:r>
      <w:r w:rsidR="00B54A62">
        <w:rPr>
          <w:rFonts w:hint="eastAsia"/>
          <w:sz w:val="20"/>
          <w:szCs w:val="20"/>
        </w:rPr>
        <w:t xml:space="preserve">exactly </w:t>
      </w:r>
      <w:r w:rsidR="008B6D92">
        <w:rPr>
          <w:rFonts w:hint="eastAsia"/>
          <w:sz w:val="20"/>
          <w:szCs w:val="20"/>
        </w:rPr>
        <w:t xml:space="preserve">the way </w:t>
      </w:r>
      <w:r w:rsidR="008B6D92">
        <w:rPr>
          <w:sz w:val="20"/>
          <w:szCs w:val="20"/>
        </w:rPr>
        <w:t>what</w:t>
      </w:r>
      <w:r w:rsidR="008B6D92">
        <w:rPr>
          <w:rFonts w:hint="eastAsia"/>
          <w:sz w:val="20"/>
          <w:szCs w:val="20"/>
        </w:rPr>
        <w:t xml:space="preserve"> the </w:t>
      </w:r>
      <w:r w:rsidR="008B6D92">
        <w:rPr>
          <w:sz w:val="20"/>
          <w:szCs w:val="20"/>
        </w:rPr>
        <w:t>specification</w:t>
      </w:r>
      <w:r w:rsidR="008B6D92">
        <w:rPr>
          <w:rFonts w:hint="eastAsia"/>
          <w:sz w:val="20"/>
          <w:szCs w:val="20"/>
        </w:rPr>
        <w:t xml:space="preserve"> suffix information </w:t>
      </w:r>
      <w:r w:rsidR="008B6D92">
        <w:rPr>
          <w:sz w:val="20"/>
          <w:szCs w:val="20"/>
        </w:rPr>
        <w:t>specified</w:t>
      </w:r>
      <w:r w:rsidR="008B6D92">
        <w:rPr>
          <w:rFonts w:hint="eastAsia"/>
          <w:sz w:val="20"/>
          <w:szCs w:val="20"/>
        </w:rPr>
        <w:t xml:space="preserve"> in TS 38.101-1</w:t>
      </w:r>
      <w:r w:rsidR="00B54A62">
        <w:rPr>
          <w:rFonts w:hint="eastAsia"/>
          <w:sz w:val="20"/>
          <w:szCs w:val="20"/>
        </w:rPr>
        <w:t xml:space="preserve"> presents.</w:t>
      </w:r>
    </w:p>
    <w:p w:rsidR="00AF6F08" w:rsidRPr="00AF6F08" w:rsidRDefault="00AF6F08" w:rsidP="00CE553D">
      <w:pPr>
        <w:rPr>
          <w:sz w:val="20"/>
          <w:szCs w:val="20"/>
        </w:rPr>
      </w:pPr>
      <w:r w:rsidRPr="00AF6F08">
        <w:rPr>
          <w:rFonts w:hint="eastAsia"/>
          <w:sz w:val="20"/>
          <w:szCs w:val="20"/>
        </w:rPr>
        <w:t xml:space="preserve">Overall, </w:t>
      </w:r>
      <w:r w:rsidR="00B802B2">
        <w:rPr>
          <w:rFonts w:hint="eastAsia"/>
          <w:sz w:val="20"/>
          <w:szCs w:val="20"/>
        </w:rPr>
        <w:t xml:space="preserve">to differentiate the requirements of vehicular V2X UEs and pedestrian V2X UEs, </w:t>
      </w:r>
      <w:r w:rsidRPr="00AF6F08">
        <w:rPr>
          <w:rFonts w:hint="eastAsia"/>
          <w:sz w:val="20"/>
          <w:szCs w:val="20"/>
        </w:rPr>
        <w:t xml:space="preserve">the </w:t>
      </w:r>
      <w:r w:rsidRPr="00AF6F08">
        <w:rPr>
          <w:sz w:val="20"/>
          <w:szCs w:val="20"/>
        </w:rPr>
        <w:t>“</w:t>
      </w:r>
      <w:r w:rsidRPr="00AF6F08">
        <w:rPr>
          <w:rFonts w:hint="eastAsia"/>
          <w:sz w:val="20"/>
          <w:szCs w:val="20"/>
        </w:rPr>
        <w:t>V2X UE</w:t>
      </w:r>
      <w:r w:rsidRPr="00AF6F08">
        <w:rPr>
          <w:sz w:val="20"/>
          <w:szCs w:val="20"/>
        </w:rPr>
        <w:t>”</w:t>
      </w:r>
      <w:r w:rsidRPr="00AF6F08">
        <w:rPr>
          <w:rFonts w:hint="eastAsia"/>
          <w:sz w:val="20"/>
          <w:szCs w:val="20"/>
        </w:rPr>
        <w:t xml:space="preserve"> in requirement part in current specifications should be changed to </w:t>
      </w:r>
      <w:r w:rsidRPr="00AF6F08">
        <w:rPr>
          <w:sz w:val="20"/>
          <w:szCs w:val="20"/>
        </w:rPr>
        <w:t>“</w:t>
      </w:r>
      <w:r w:rsidRPr="00AF6F08">
        <w:rPr>
          <w:rFonts w:hint="eastAsia"/>
          <w:sz w:val="20"/>
          <w:szCs w:val="20"/>
        </w:rPr>
        <w:t>vehicular V2X UE</w:t>
      </w:r>
      <w:r w:rsidRPr="00AF6F08">
        <w:rPr>
          <w:sz w:val="20"/>
          <w:szCs w:val="20"/>
        </w:rPr>
        <w:t>”</w:t>
      </w:r>
      <w:r w:rsidRPr="00AF6F08">
        <w:rPr>
          <w:rFonts w:hint="eastAsia"/>
          <w:sz w:val="20"/>
          <w:szCs w:val="20"/>
        </w:rPr>
        <w:t>. For pedestrian V2X UE, no additional statement in requ</w:t>
      </w:r>
      <w:r w:rsidR="00F7504D">
        <w:rPr>
          <w:rFonts w:hint="eastAsia"/>
          <w:sz w:val="20"/>
          <w:szCs w:val="20"/>
        </w:rPr>
        <w:t xml:space="preserve">irements is needed </w:t>
      </w:r>
      <w:r w:rsidR="00510C91">
        <w:rPr>
          <w:rFonts w:hint="eastAsia"/>
          <w:sz w:val="20"/>
          <w:szCs w:val="20"/>
        </w:rPr>
        <w:t xml:space="preserve">for simplicity </w:t>
      </w:r>
      <w:r w:rsidR="00F7504D">
        <w:rPr>
          <w:rFonts w:hint="eastAsia"/>
          <w:sz w:val="20"/>
          <w:szCs w:val="20"/>
        </w:rPr>
        <w:t xml:space="preserve">as per the </w:t>
      </w:r>
      <w:r w:rsidR="00F7504D">
        <w:rPr>
          <w:sz w:val="20"/>
          <w:szCs w:val="20"/>
        </w:rPr>
        <w:t>specification</w:t>
      </w:r>
      <w:r w:rsidR="00F7504D">
        <w:rPr>
          <w:rFonts w:hint="eastAsia"/>
          <w:sz w:val="20"/>
          <w:szCs w:val="20"/>
        </w:rPr>
        <w:t xml:space="preserve"> suffix information </w:t>
      </w:r>
      <w:r w:rsidR="00F7504D">
        <w:rPr>
          <w:sz w:val="20"/>
          <w:szCs w:val="20"/>
        </w:rPr>
        <w:t>specified</w:t>
      </w:r>
      <w:r w:rsidR="00F7504D">
        <w:rPr>
          <w:rFonts w:hint="eastAsia"/>
          <w:sz w:val="20"/>
          <w:szCs w:val="20"/>
        </w:rPr>
        <w:t xml:space="preserve"> in TS 38.101-1.</w:t>
      </w:r>
      <w:r w:rsidR="00510C91">
        <w:rPr>
          <w:rFonts w:hint="eastAsia"/>
          <w:sz w:val="20"/>
          <w:szCs w:val="20"/>
        </w:rPr>
        <w:t xml:space="preserve"> Indeed, the additional statement in requirement for </w:t>
      </w:r>
      <w:r w:rsidR="00510C91">
        <w:rPr>
          <w:sz w:val="20"/>
          <w:szCs w:val="20"/>
        </w:rPr>
        <w:t>pedestrian</w:t>
      </w:r>
      <w:r w:rsidR="00510C91">
        <w:rPr>
          <w:rFonts w:hint="eastAsia"/>
          <w:sz w:val="20"/>
          <w:szCs w:val="20"/>
        </w:rPr>
        <w:t xml:space="preserve"> V2X UE, like </w:t>
      </w:r>
      <w:r w:rsidR="00510C91">
        <w:rPr>
          <w:sz w:val="20"/>
          <w:szCs w:val="20"/>
        </w:rPr>
        <w:t>“</w:t>
      </w:r>
      <w:r w:rsidR="00510C91">
        <w:rPr>
          <w:rFonts w:hint="eastAsia"/>
          <w:sz w:val="20"/>
          <w:szCs w:val="20"/>
        </w:rPr>
        <w:t>the tighter requirements between the general requirements and additional requirements</w:t>
      </w:r>
      <w:r w:rsidR="002F7B2A">
        <w:rPr>
          <w:rFonts w:hint="eastAsia"/>
          <w:sz w:val="20"/>
          <w:szCs w:val="20"/>
        </w:rPr>
        <w:t xml:space="preserve"> </w:t>
      </w:r>
      <w:r w:rsidR="00510C91">
        <w:rPr>
          <w:rFonts w:hint="eastAsia"/>
          <w:sz w:val="20"/>
          <w:szCs w:val="20"/>
        </w:rPr>
        <w:t xml:space="preserve">apply for </w:t>
      </w:r>
      <w:r w:rsidR="00510C91">
        <w:rPr>
          <w:sz w:val="20"/>
          <w:szCs w:val="20"/>
        </w:rPr>
        <w:t>pedestrian</w:t>
      </w:r>
      <w:r w:rsidR="00510C91">
        <w:rPr>
          <w:rFonts w:hint="eastAsia"/>
          <w:sz w:val="20"/>
          <w:szCs w:val="20"/>
        </w:rPr>
        <w:t xml:space="preserve"> V2X UE</w:t>
      </w:r>
      <w:r w:rsidR="002F7B2A">
        <w:rPr>
          <w:rFonts w:hint="eastAsia"/>
          <w:sz w:val="20"/>
          <w:szCs w:val="20"/>
        </w:rPr>
        <w:t>s</w:t>
      </w:r>
      <w:r w:rsidR="00510C91">
        <w:rPr>
          <w:sz w:val="20"/>
          <w:szCs w:val="20"/>
        </w:rPr>
        <w:t>”</w:t>
      </w:r>
      <w:r w:rsidR="00510C91">
        <w:rPr>
          <w:rFonts w:hint="eastAsia"/>
          <w:sz w:val="20"/>
          <w:szCs w:val="20"/>
        </w:rPr>
        <w:t xml:space="preserve">, can be also acceptable. </w:t>
      </w:r>
    </w:p>
    <w:p w:rsidR="00AE07E2" w:rsidRDefault="00A35D60" w:rsidP="00BD3ED1">
      <w:pPr>
        <w:rPr>
          <w:b/>
          <w:sz w:val="20"/>
          <w:szCs w:val="20"/>
        </w:rPr>
      </w:pPr>
      <w:r>
        <w:rPr>
          <w:rFonts w:hint="eastAsia"/>
          <w:b/>
          <w:sz w:val="20"/>
          <w:szCs w:val="20"/>
        </w:rPr>
        <w:t xml:space="preserve">Proposal </w:t>
      </w:r>
      <w:r w:rsidR="00CE553D">
        <w:rPr>
          <w:rFonts w:hint="eastAsia"/>
          <w:b/>
          <w:sz w:val="20"/>
          <w:szCs w:val="20"/>
        </w:rPr>
        <w:t>2</w:t>
      </w:r>
      <w:r w:rsidRPr="00A35D60">
        <w:rPr>
          <w:rFonts w:hint="eastAsia"/>
          <w:b/>
          <w:sz w:val="20"/>
          <w:szCs w:val="20"/>
        </w:rPr>
        <w:t>:</w:t>
      </w:r>
      <w:r>
        <w:rPr>
          <w:rFonts w:hint="eastAsia"/>
          <w:b/>
          <w:sz w:val="20"/>
          <w:szCs w:val="20"/>
        </w:rPr>
        <w:t xml:space="preserve"> The additional requirements</w:t>
      </w:r>
      <w:r w:rsidR="00BD3ED1">
        <w:rPr>
          <w:rFonts w:hint="eastAsia"/>
          <w:b/>
          <w:sz w:val="20"/>
          <w:szCs w:val="20"/>
        </w:rPr>
        <w:t xml:space="preserve"> specified in </w:t>
      </w:r>
      <w:r w:rsidR="00A66E30">
        <w:rPr>
          <w:rFonts w:hint="eastAsia"/>
          <w:b/>
          <w:sz w:val="20"/>
          <w:szCs w:val="20"/>
        </w:rPr>
        <w:t xml:space="preserve">the suffix </w:t>
      </w:r>
      <w:r w:rsidR="00BD3ED1">
        <w:rPr>
          <w:rFonts w:hint="eastAsia"/>
          <w:b/>
          <w:sz w:val="20"/>
          <w:szCs w:val="20"/>
        </w:rPr>
        <w:t>should</w:t>
      </w:r>
      <w:r>
        <w:rPr>
          <w:rFonts w:hint="eastAsia"/>
          <w:b/>
          <w:sz w:val="20"/>
          <w:szCs w:val="20"/>
        </w:rPr>
        <w:t xml:space="preserve"> appl</w:t>
      </w:r>
      <w:r w:rsidR="00BD3ED1">
        <w:rPr>
          <w:rFonts w:hint="eastAsia"/>
          <w:b/>
          <w:sz w:val="20"/>
          <w:szCs w:val="20"/>
        </w:rPr>
        <w:t>y for</w:t>
      </w:r>
      <w:r w:rsidR="00054ED6">
        <w:rPr>
          <w:rFonts w:hint="eastAsia"/>
          <w:b/>
          <w:sz w:val="20"/>
          <w:szCs w:val="20"/>
        </w:rPr>
        <w:t xml:space="preserve"> v</w:t>
      </w:r>
      <w:r>
        <w:rPr>
          <w:rFonts w:hint="eastAsia"/>
          <w:b/>
          <w:sz w:val="20"/>
          <w:szCs w:val="20"/>
        </w:rPr>
        <w:t>ehicular V2X UE</w:t>
      </w:r>
      <w:r w:rsidR="00054ED6">
        <w:rPr>
          <w:rFonts w:hint="eastAsia"/>
          <w:b/>
          <w:sz w:val="20"/>
          <w:szCs w:val="20"/>
        </w:rPr>
        <w:t>s</w:t>
      </w:r>
      <w:r w:rsidR="00963F1D">
        <w:rPr>
          <w:rFonts w:hint="eastAsia"/>
          <w:b/>
          <w:sz w:val="20"/>
          <w:szCs w:val="20"/>
        </w:rPr>
        <w:t>, while t</w:t>
      </w:r>
      <w:r w:rsidR="00BD3ED1">
        <w:rPr>
          <w:rFonts w:hint="eastAsia"/>
          <w:b/>
          <w:sz w:val="20"/>
          <w:szCs w:val="20"/>
        </w:rPr>
        <w:t>he</w:t>
      </w:r>
      <w:r w:rsidR="00054ED6">
        <w:rPr>
          <w:rFonts w:hint="eastAsia"/>
          <w:b/>
          <w:sz w:val="20"/>
          <w:szCs w:val="20"/>
        </w:rPr>
        <w:t xml:space="preserve"> </w:t>
      </w:r>
      <w:r w:rsidR="009A47F5">
        <w:rPr>
          <w:rFonts w:hint="eastAsia"/>
          <w:b/>
          <w:sz w:val="20"/>
          <w:szCs w:val="20"/>
        </w:rPr>
        <w:t xml:space="preserve">tighter requirements between </w:t>
      </w:r>
      <w:r w:rsidR="00054ED6">
        <w:rPr>
          <w:rFonts w:hint="eastAsia"/>
          <w:b/>
          <w:sz w:val="20"/>
          <w:szCs w:val="20"/>
        </w:rPr>
        <w:t xml:space="preserve">general requirements </w:t>
      </w:r>
      <w:r w:rsidR="009A47F5">
        <w:rPr>
          <w:rFonts w:hint="eastAsia"/>
          <w:b/>
          <w:sz w:val="20"/>
          <w:szCs w:val="20"/>
        </w:rPr>
        <w:t xml:space="preserve">and additional requirements </w:t>
      </w:r>
      <w:r w:rsidR="00054ED6">
        <w:rPr>
          <w:rFonts w:hint="eastAsia"/>
          <w:b/>
          <w:sz w:val="20"/>
          <w:szCs w:val="20"/>
        </w:rPr>
        <w:t>should apply for pedestrian V2X UEs</w:t>
      </w:r>
      <w:r w:rsidR="009A47F5">
        <w:rPr>
          <w:rFonts w:hint="eastAsia"/>
          <w:b/>
          <w:sz w:val="20"/>
          <w:szCs w:val="20"/>
        </w:rPr>
        <w:t>.</w:t>
      </w:r>
    </w:p>
    <w:p w:rsidR="00F103AC" w:rsidRPr="003D6BEF" w:rsidRDefault="005A5685" w:rsidP="00F66732">
      <w:pPr>
        <w:rPr>
          <w:b/>
          <w:sz w:val="20"/>
          <w:szCs w:val="20"/>
        </w:rPr>
      </w:pPr>
      <w:r>
        <w:rPr>
          <w:rFonts w:hint="eastAsia"/>
          <w:b/>
          <w:sz w:val="20"/>
          <w:szCs w:val="20"/>
        </w:rPr>
        <w:t xml:space="preserve">Proposal 3: The </w:t>
      </w:r>
      <w:r w:rsidR="00670019">
        <w:rPr>
          <w:b/>
          <w:sz w:val="20"/>
          <w:szCs w:val="20"/>
        </w:rPr>
        <w:t>“</w:t>
      </w:r>
      <w:r w:rsidR="004E25F0">
        <w:rPr>
          <w:rFonts w:hint="eastAsia"/>
          <w:b/>
          <w:sz w:val="20"/>
          <w:szCs w:val="20"/>
        </w:rPr>
        <w:t xml:space="preserve">V2X </w:t>
      </w:r>
      <w:r>
        <w:rPr>
          <w:rFonts w:hint="eastAsia"/>
          <w:b/>
          <w:sz w:val="20"/>
          <w:szCs w:val="20"/>
        </w:rPr>
        <w:t>UE</w:t>
      </w:r>
      <w:r w:rsidR="00670019">
        <w:rPr>
          <w:b/>
          <w:sz w:val="20"/>
          <w:szCs w:val="20"/>
        </w:rPr>
        <w:t>”</w:t>
      </w:r>
      <w:r>
        <w:rPr>
          <w:rFonts w:hint="eastAsia"/>
          <w:b/>
          <w:sz w:val="20"/>
          <w:szCs w:val="20"/>
        </w:rPr>
        <w:t xml:space="preserve"> </w:t>
      </w:r>
      <w:r w:rsidR="00670019">
        <w:rPr>
          <w:rFonts w:hint="eastAsia"/>
          <w:b/>
          <w:sz w:val="20"/>
          <w:szCs w:val="20"/>
        </w:rPr>
        <w:t xml:space="preserve">in </w:t>
      </w:r>
      <w:r w:rsidR="00A27B70">
        <w:rPr>
          <w:rFonts w:hint="eastAsia"/>
          <w:b/>
          <w:sz w:val="20"/>
          <w:szCs w:val="20"/>
        </w:rPr>
        <w:t xml:space="preserve">requirement part in </w:t>
      </w:r>
      <w:r w:rsidR="00670019">
        <w:rPr>
          <w:rFonts w:hint="eastAsia"/>
          <w:b/>
          <w:sz w:val="20"/>
          <w:szCs w:val="20"/>
        </w:rPr>
        <w:t xml:space="preserve">current specifications </w:t>
      </w:r>
      <w:r w:rsidR="004E25F0">
        <w:rPr>
          <w:rFonts w:hint="eastAsia"/>
          <w:b/>
          <w:sz w:val="20"/>
          <w:szCs w:val="20"/>
        </w:rPr>
        <w:t xml:space="preserve">should be </w:t>
      </w:r>
      <w:r w:rsidR="00670019">
        <w:rPr>
          <w:rFonts w:hint="eastAsia"/>
          <w:b/>
          <w:sz w:val="20"/>
          <w:szCs w:val="20"/>
        </w:rPr>
        <w:t xml:space="preserve">changed to </w:t>
      </w:r>
      <w:r w:rsidR="00670019">
        <w:rPr>
          <w:b/>
          <w:sz w:val="20"/>
          <w:szCs w:val="20"/>
        </w:rPr>
        <w:t>“</w:t>
      </w:r>
      <w:r w:rsidR="00670019">
        <w:rPr>
          <w:rFonts w:hint="eastAsia"/>
          <w:b/>
          <w:sz w:val="20"/>
          <w:szCs w:val="20"/>
        </w:rPr>
        <w:t>vehicular V2X UE</w:t>
      </w:r>
      <w:r w:rsidR="00670019">
        <w:rPr>
          <w:b/>
          <w:sz w:val="20"/>
          <w:szCs w:val="20"/>
        </w:rPr>
        <w:t>”</w:t>
      </w:r>
      <w:r w:rsidR="00670019">
        <w:rPr>
          <w:rFonts w:hint="eastAsia"/>
          <w:b/>
          <w:sz w:val="20"/>
          <w:szCs w:val="20"/>
        </w:rPr>
        <w:t>. For pedestrian V2X UE, no additional statement in requirements is needed.</w:t>
      </w:r>
    </w:p>
    <w:p w:rsidR="00730C4A" w:rsidRPr="00F66732" w:rsidRDefault="00730C4A" w:rsidP="00730C4A">
      <w:pPr>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the</w:t>
      </w:r>
      <w:r w:rsidR="007634B5">
        <w:rPr>
          <w:rFonts w:hint="eastAsia"/>
          <w:sz w:val="20"/>
          <w:lang w:val="en-US"/>
        </w:rPr>
        <w:t xml:space="preserve"> </w:t>
      </w:r>
      <w:r w:rsidR="00BE6203">
        <w:rPr>
          <w:rFonts w:hint="eastAsia"/>
          <w:sz w:val="20"/>
          <w:lang w:val="en-US"/>
        </w:rPr>
        <w:t>applicable</w:t>
      </w:r>
      <w:r w:rsidR="007634B5">
        <w:rPr>
          <w:rFonts w:hint="eastAsia"/>
          <w:sz w:val="20"/>
          <w:lang w:val="en-US"/>
        </w:rPr>
        <w:t xml:space="preserve"> requirements</w:t>
      </w:r>
      <w:r w:rsidR="00BE6203">
        <w:rPr>
          <w:rFonts w:hint="eastAsia"/>
          <w:sz w:val="20"/>
          <w:lang w:val="en-US"/>
        </w:rPr>
        <w:t xml:space="preserve"> for vehicular V2X UE and pedestrian V2X UE</w:t>
      </w:r>
      <w:r w:rsidR="00784284">
        <w:rPr>
          <w:rFonts w:hint="eastAsia"/>
          <w:sz w:val="20"/>
          <w:lang w:val="en-US"/>
        </w:rPr>
        <w:t>. The following proposals are derived:</w:t>
      </w:r>
    </w:p>
    <w:p w:rsidR="00626D39" w:rsidRDefault="00626D39" w:rsidP="00626D39">
      <w:pPr>
        <w:rPr>
          <w:b/>
          <w:sz w:val="20"/>
          <w:szCs w:val="20"/>
        </w:rPr>
      </w:pPr>
      <w:r w:rsidRPr="00CE553D">
        <w:rPr>
          <w:rFonts w:hint="eastAsia"/>
          <w:b/>
          <w:sz w:val="20"/>
          <w:szCs w:val="20"/>
        </w:rPr>
        <w:t>Proposal</w:t>
      </w:r>
      <w:r>
        <w:rPr>
          <w:rFonts w:hint="eastAsia"/>
          <w:b/>
          <w:sz w:val="20"/>
          <w:szCs w:val="20"/>
        </w:rPr>
        <w:t xml:space="preserve"> 1</w:t>
      </w:r>
      <w:r w:rsidRPr="00CE553D">
        <w:rPr>
          <w:rFonts w:hint="eastAsia"/>
          <w:b/>
          <w:sz w:val="20"/>
          <w:szCs w:val="20"/>
        </w:rPr>
        <w:t xml:space="preserve">: </w:t>
      </w:r>
      <w:r w:rsidRPr="00B74365">
        <w:rPr>
          <w:rFonts w:hint="eastAsia"/>
          <w:b/>
          <w:sz w:val="20"/>
          <w:szCs w:val="20"/>
        </w:rPr>
        <w:t xml:space="preserve">Different types of V2X UE, i.e. vehicular </w:t>
      </w:r>
      <w:r>
        <w:rPr>
          <w:rFonts w:hint="eastAsia"/>
          <w:b/>
          <w:sz w:val="20"/>
          <w:szCs w:val="20"/>
        </w:rPr>
        <w:t xml:space="preserve">V2X </w:t>
      </w:r>
      <w:r w:rsidRPr="00B74365">
        <w:rPr>
          <w:rFonts w:hint="eastAsia"/>
          <w:b/>
          <w:sz w:val="20"/>
          <w:szCs w:val="20"/>
        </w:rPr>
        <w:t xml:space="preserve">UE and pedestrian </w:t>
      </w:r>
      <w:r>
        <w:rPr>
          <w:rFonts w:hint="eastAsia"/>
          <w:b/>
          <w:sz w:val="20"/>
          <w:szCs w:val="20"/>
        </w:rPr>
        <w:t xml:space="preserve">V2X </w:t>
      </w:r>
      <w:r w:rsidRPr="00B74365">
        <w:rPr>
          <w:rFonts w:hint="eastAsia"/>
          <w:b/>
          <w:sz w:val="20"/>
          <w:szCs w:val="20"/>
        </w:rPr>
        <w:t>UE, should be first clarified and defined</w:t>
      </w:r>
      <w:r>
        <w:rPr>
          <w:rFonts w:hint="eastAsia"/>
          <w:b/>
          <w:sz w:val="20"/>
          <w:szCs w:val="20"/>
        </w:rPr>
        <w:t xml:space="preserve"> based on the real scenarios for V2X.</w:t>
      </w:r>
    </w:p>
    <w:p w:rsidR="00626D39" w:rsidRDefault="00626D39" w:rsidP="00626D39">
      <w:pPr>
        <w:rPr>
          <w:b/>
          <w:sz w:val="20"/>
          <w:szCs w:val="20"/>
        </w:rPr>
      </w:pPr>
      <w:r>
        <w:rPr>
          <w:rFonts w:hint="eastAsia"/>
          <w:b/>
          <w:sz w:val="20"/>
          <w:szCs w:val="20"/>
        </w:rPr>
        <w:t>Proposal 2</w:t>
      </w:r>
      <w:r w:rsidRPr="00A35D60">
        <w:rPr>
          <w:rFonts w:hint="eastAsia"/>
          <w:b/>
          <w:sz w:val="20"/>
          <w:szCs w:val="20"/>
        </w:rPr>
        <w:t>:</w:t>
      </w:r>
      <w:r>
        <w:rPr>
          <w:rFonts w:hint="eastAsia"/>
          <w:b/>
          <w:sz w:val="20"/>
          <w:szCs w:val="20"/>
        </w:rPr>
        <w:t xml:space="preserve"> The additional requirements specified in the suffix should apply for vehicular V2X UEs, while the tighter requirements between general requirements and additional requirements should apply for pedestrian V2X UEs.</w:t>
      </w:r>
    </w:p>
    <w:p w:rsidR="00626D39" w:rsidRPr="003D6BEF" w:rsidRDefault="00626D39" w:rsidP="00626D39">
      <w:pPr>
        <w:rPr>
          <w:b/>
          <w:sz w:val="20"/>
          <w:szCs w:val="20"/>
        </w:rPr>
      </w:pPr>
      <w:r>
        <w:rPr>
          <w:rFonts w:hint="eastAsia"/>
          <w:b/>
          <w:sz w:val="20"/>
          <w:szCs w:val="20"/>
        </w:rPr>
        <w:t xml:space="preserve">Proposal 3: The </w:t>
      </w:r>
      <w:r>
        <w:rPr>
          <w:b/>
          <w:sz w:val="20"/>
          <w:szCs w:val="20"/>
        </w:rPr>
        <w:t>“</w:t>
      </w:r>
      <w:r>
        <w:rPr>
          <w:rFonts w:hint="eastAsia"/>
          <w:b/>
          <w:sz w:val="20"/>
          <w:szCs w:val="20"/>
        </w:rPr>
        <w:t>V2X UE</w:t>
      </w:r>
      <w:r>
        <w:rPr>
          <w:b/>
          <w:sz w:val="20"/>
          <w:szCs w:val="20"/>
        </w:rPr>
        <w:t>”</w:t>
      </w:r>
      <w:r>
        <w:rPr>
          <w:rFonts w:hint="eastAsia"/>
          <w:b/>
          <w:sz w:val="20"/>
          <w:szCs w:val="20"/>
        </w:rPr>
        <w:t xml:space="preserve"> in requirement part in current specifications should be changed to </w:t>
      </w:r>
      <w:r>
        <w:rPr>
          <w:b/>
          <w:sz w:val="20"/>
          <w:szCs w:val="20"/>
        </w:rPr>
        <w:t>“</w:t>
      </w:r>
      <w:r>
        <w:rPr>
          <w:rFonts w:hint="eastAsia"/>
          <w:b/>
          <w:sz w:val="20"/>
          <w:szCs w:val="20"/>
        </w:rPr>
        <w:t>vehicular V2X UE</w:t>
      </w:r>
      <w:r>
        <w:rPr>
          <w:b/>
          <w:sz w:val="20"/>
          <w:szCs w:val="20"/>
        </w:rPr>
        <w:t>”</w:t>
      </w:r>
      <w:r>
        <w:rPr>
          <w:rFonts w:hint="eastAsia"/>
          <w:b/>
          <w:sz w:val="20"/>
          <w:szCs w:val="20"/>
        </w:rPr>
        <w:t>. For pedestrian V2X UE, no additional stat</w:t>
      </w:r>
      <w:r w:rsidR="00CA1D83">
        <w:rPr>
          <w:rFonts w:hint="eastAsia"/>
          <w:b/>
          <w:sz w:val="20"/>
          <w:szCs w:val="20"/>
        </w:rPr>
        <w:t>ement in requirements is needed</w:t>
      </w:r>
      <w:r>
        <w:rPr>
          <w:rFonts w:hint="eastAsia"/>
          <w:b/>
          <w:sz w:val="20"/>
          <w:szCs w:val="20"/>
        </w:rPr>
        <w:t>.</w:t>
      </w:r>
    </w:p>
    <w:p w:rsidR="00E345EC" w:rsidRPr="00626D39"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377E9" w:rsidRDefault="002E4536" w:rsidP="009377E9">
      <w:pPr>
        <w:pStyle w:val="ab"/>
        <w:ind w:left="566" w:hangingChars="283" w:hanging="566"/>
        <w:rPr>
          <w:sz w:val="20"/>
        </w:rPr>
      </w:pPr>
      <w:r w:rsidRPr="002E4536">
        <w:rPr>
          <w:sz w:val="20"/>
        </w:rPr>
        <w:t>[1]</w:t>
      </w:r>
      <w:r w:rsidRPr="002E4536">
        <w:rPr>
          <w:sz w:val="20"/>
        </w:rPr>
        <w:tab/>
      </w:r>
      <w:r w:rsidR="005F3519">
        <w:rPr>
          <w:sz w:val="20"/>
        </w:rPr>
        <w:t>R4-200</w:t>
      </w:r>
      <w:r w:rsidR="005F3519">
        <w:rPr>
          <w:rFonts w:hint="eastAsia"/>
          <w:sz w:val="20"/>
        </w:rPr>
        <w:t>8446</w:t>
      </w:r>
      <w:r w:rsidR="009377E9">
        <w:rPr>
          <w:rFonts w:hint="eastAsia"/>
          <w:sz w:val="20"/>
        </w:rPr>
        <w:t xml:space="preserve">, </w:t>
      </w:r>
      <w:r w:rsidR="005F3519" w:rsidRPr="005F3519">
        <w:rPr>
          <w:sz w:val="20"/>
        </w:rPr>
        <w:t>WF on TR/TS structures and common terminology for NR V2X UE</w:t>
      </w:r>
      <w:r w:rsidR="009377E9">
        <w:rPr>
          <w:rFonts w:hint="eastAsia"/>
          <w:sz w:val="20"/>
        </w:rPr>
        <w:t xml:space="preserve">, </w:t>
      </w:r>
      <w:r w:rsidR="005F3519">
        <w:rPr>
          <w:rFonts w:hint="eastAsia"/>
          <w:sz w:val="20"/>
        </w:rPr>
        <w:t xml:space="preserve">Qualcomm, </w:t>
      </w:r>
      <w:r w:rsidR="009377E9">
        <w:rPr>
          <w:rFonts w:hint="eastAsia"/>
          <w:sz w:val="20"/>
        </w:rPr>
        <w:t>RAN4#95e</w:t>
      </w:r>
    </w:p>
    <w:p w:rsidR="008F63B6" w:rsidRDefault="008F63B6" w:rsidP="00C51899">
      <w:pPr>
        <w:pStyle w:val="ab"/>
        <w:ind w:left="566" w:hangingChars="283" w:hanging="566"/>
        <w:rPr>
          <w:sz w:val="20"/>
        </w:rPr>
      </w:pPr>
      <w:bookmarkStart w:id="2" w:name="_GoBack"/>
      <w:bookmarkEnd w:id="2"/>
    </w:p>
    <w:sectPr w:rsidR="008F63B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A50" w:rsidRDefault="007E4A50" w:rsidP="0095591C">
      <w:pPr>
        <w:spacing w:after="60"/>
        <w:ind w:left="210"/>
      </w:pPr>
      <w:r>
        <w:separator/>
      </w:r>
    </w:p>
  </w:endnote>
  <w:endnote w:type="continuationSeparator" w:id="0">
    <w:p w:rsidR="007E4A50" w:rsidRDefault="007E4A5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5189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A50" w:rsidRDefault="007E4A50" w:rsidP="0095591C">
      <w:pPr>
        <w:spacing w:after="60"/>
        <w:ind w:left="210"/>
      </w:pPr>
      <w:r>
        <w:separator/>
      </w:r>
    </w:p>
  </w:footnote>
  <w:footnote w:type="continuationSeparator" w:id="0">
    <w:p w:rsidR="007E4A50" w:rsidRDefault="007E4A5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9">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0">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C17EFB"/>
    <w:multiLevelType w:val="hybridMultilevel"/>
    <w:tmpl w:val="8F0660A2"/>
    <w:lvl w:ilvl="0" w:tplc="93E4F8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5">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3">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4">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5"/>
  </w:num>
  <w:num w:numId="4">
    <w:abstractNumId w:val="24"/>
  </w:num>
  <w:num w:numId="5">
    <w:abstractNumId w:val="15"/>
  </w:num>
  <w:num w:numId="6">
    <w:abstractNumId w:val="38"/>
  </w:num>
  <w:num w:numId="7">
    <w:abstractNumId w:val="8"/>
  </w:num>
  <w:num w:numId="8">
    <w:abstractNumId w:val="26"/>
  </w:num>
  <w:num w:numId="9">
    <w:abstractNumId w:val="18"/>
  </w:num>
  <w:num w:numId="10">
    <w:abstractNumId w:val="33"/>
  </w:num>
  <w:num w:numId="11">
    <w:abstractNumId w:val="39"/>
  </w:num>
  <w:num w:numId="12">
    <w:abstractNumId w:val="41"/>
  </w:num>
  <w:num w:numId="13">
    <w:abstractNumId w:val="19"/>
  </w:num>
  <w:num w:numId="14">
    <w:abstractNumId w:val="20"/>
  </w:num>
  <w:num w:numId="15">
    <w:abstractNumId w:val="17"/>
  </w:num>
  <w:num w:numId="16">
    <w:abstractNumId w:val="31"/>
  </w:num>
  <w:num w:numId="17">
    <w:abstractNumId w:val="0"/>
  </w:num>
  <w:num w:numId="18">
    <w:abstractNumId w:val="37"/>
  </w:num>
  <w:num w:numId="19">
    <w:abstractNumId w:val="44"/>
  </w:num>
  <w:num w:numId="20">
    <w:abstractNumId w:val="21"/>
  </w:num>
  <w:num w:numId="21">
    <w:abstractNumId w:val="34"/>
  </w:num>
  <w:num w:numId="22">
    <w:abstractNumId w:val="43"/>
  </w:num>
  <w:num w:numId="23">
    <w:abstractNumId w:val="3"/>
  </w:num>
  <w:num w:numId="24">
    <w:abstractNumId w:val="14"/>
  </w:num>
  <w:num w:numId="25">
    <w:abstractNumId w:val="28"/>
  </w:num>
  <w:num w:numId="26">
    <w:abstractNumId w:val="10"/>
  </w:num>
  <w:num w:numId="27">
    <w:abstractNumId w:val="2"/>
  </w:num>
  <w:num w:numId="28">
    <w:abstractNumId w:val="35"/>
  </w:num>
  <w:num w:numId="29">
    <w:abstractNumId w:val="23"/>
  </w:num>
  <w:num w:numId="30">
    <w:abstractNumId w:val="7"/>
  </w:num>
  <w:num w:numId="31">
    <w:abstractNumId w:val="13"/>
  </w:num>
  <w:num w:numId="32">
    <w:abstractNumId w:val="11"/>
  </w:num>
  <w:num w:numId="33">
    <w:abstractNumId w:val="40"/>
  </w:num>
  <w:num w:numId="34">
    <w:abstractNumId w:val="25"/>
  </w:num>
  <w:num w:numId="35">
    <w:abstractNumId w:val="4"/>
  </w:num>
  <w:num w:numId="36">
    <w:abstractNumId w:val="12"/>
  </w:num>
  <w:num w:numId="37">
    <w:abstractNumId w:val="30"/>
  </w:num>
  <w:num w:numId="38">
    <w:abstractNumId w:val="22"/>
  </w:num>
  <w:num w:numId="39">
    <w:abstractNumId w:val="16"/>
  </w:num>
  <w:num w:numId="40">
    <w:abstractNumId w:val="1"/>
  </w:num>
  <w:num w:numId="41">
    <w:abstractNumId w:val="6"/>
  </w:num>
  <w:num w:numId="42">
    <w:abstractNumId w:val="29"/>
  </w:num>
  <w:num w:numId="43">
    <w:abstractNumId w:val="42"/>
  </w:num>
  <w:num w:numId="44">
    <w:abstractNumId w:val="36"/>
  </w:num>
  <w:num w:numId="4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68"/>
    <w:rsid w:val="00003FCE"/>
    <w:rsid w:val="00004307"/>
    <w:rsid w:val="00005AA1"/>
    <w:rsid w:val="000063D7"/>
    <w:rsid w:val="000065F9"/>
    <w:rsid w:val="000072DB"/>
    <w:rsid w:val="00010820"/>
    <w:rsid w:val="00010CFC"/>
    <w:rsid w:val="00010E1B"/>
    <w:rsid w:val="00010E72"/>
    <w:rsid w:val="000110A9"/>
    <w:rsid w:val="00011417"/>
    <w:rsid w:val="00011734"/>
    <w:rsid w:val="000118A8"/>
    <w:rsid w:val="00011969"/>
    <w:rsid w:val="00011C28"/>
    <w:rsid w:val="000121E9"/>
    <w:rsid w:val="000128C7"/>
    <w:rsid w:val="0001329C"/>
    <w:rsid w:val="00013E4A"/>
    <w:rsid w:val="00014364"/>
    <w:rsid w:val="000149F8"/>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39"/>
    <w:rsid w:val="000358BD"/>
    <w:rsid w:val="00035C86"/>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4ED6"/>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207"/>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4841"/>
    <w:rsid w:val="000B5088"/>
    <w:rsid w:val="000B5C46"/>
    <w:rsid w:val="000B5D8E"/>
    <w:rsid w:val="000B77CC"/>
    <w:rsid w:val="000B7C0C"/>
    <w:rsid w:val="000B7F83"/>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0BC"/>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016"/>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170"/>
    <w:rsid w:val="0020446D"/>
    <w:rsid w:val="00205F4D"/>
    <w:rsid w:val="002063B3"/>
    <w:rsid w:val="00206CB8"/>
    <w:rsid w:val="002116DB"/>
    <w:rsid w:val="002118A8"/>
    <w:rsid w:val="00212CEE"/>
    <w:rsid w:val="00213644"/>
    <w:rsid w:val="002136ED"/>
    <w:rsid w:val="00213953"/>
    <w:rsid w:val="00213C3B"/>
    <w:rsid w:val="002140F1"/>
    <w:rsid w:val="002141FB"/>
    <w:rsid w:val="002148C5"/>
    <w:rsid w:val="00214BBE"/>
    <w:rsid w:val="00215A5E"/>
    <w:rsid w:val="00215AC2"/>
    <w:rsid w:val="00215BCE"/>
    <w:rsid w:val="002175F1"/>
    <w:rsid w:val="00220892"/>
    <w:rsid w:val="002208C7"/>
    <w:rsid w:val="00221759"/>
    <w:rsid w:val="00222EA5"/>
    <w:rsid w:val="002230F7"/>
    <w:rsid w:val="00224D69"/>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313"/>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84"/>
    <w:rsid w:val="002F46E4"/>
    <w:rsid w:val="002F4E51"/>
    <w:rsid w:val="002F5802"/>
    <w:rsid w:val="002F5A53"/>
    <w:rsid w:val="002F5ACD"/>
    <w:rsid w:val="002F5E41"/>
    <w:rsid w:val="002F6E16"/>
    <w:rsid w:val="002F6F77"/>
    <w:rsid w:val="002F7028"/>
    <w:rsid w:val="002F7469"/>
    <w:rsid w:val="002F7B2A"/>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D1E"/>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79"/>
    <w:rsid w:val="003202CD"/>
    <w:rsid w:val="003214F8"/>
    <w:rsid w:val="00321D0D"/>
    <w:rsid w:val="003223D4"/>
    <w:rsid w:val="00323BFE"/>
    <w:rsid w:val="00323EDC"/>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6BEF"/>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5F6"/>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5C"/>
    <w:rsid w:val="0045401D"/>
    <w:rsid w:val="00454159"/>
    <w:rsid w:val="0045452E"/>
    <w:rsid w:val="004545B9"/>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AC"/>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B2A"/>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354"/>
    <w:rsid w:val="004C045C"/>
    <w:rsid w:val="004C0C3D"/>
    <w:rsid w:val="004C0F7A"/>
    <w:rsid w:val="004C111A"/>
    <w:rsid w:val="004C1C73"/>
    <w:rsid w:val="004C1DA7"/>
    <w:rsid w:val="004C25EB"/>
    <w:rsid w:val="004C2995"/>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5F0"/>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0C9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675"/>
    <w:rsid w:val="005A37BC"/>
    <w:rsid w:val="005A48AC"/>
    <w:rsid w:val="005A4C0B"/>
    <w:rsid w:val="005A4D01"/>
    <w:rsid w:val="005A5176"/>
    <w:rsid w:val="005A5232"/>
    <w:rsid w:val="005A5685"/>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519"/>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6EC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4C2E"/>
    <w:rsid w:val="00624EDE"/>
    <w:rsid w:val="0062537D"/>
    <w:rsid w:val="00625B5F"/>
    <w:rsid w:val="00626D39"/>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70019"/>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4E3"/>
    <w:rsid w:val="006D0530"/>
    <w:rsid w:val="006D0EC4"/>
    <w:rsid w:val="006D16EA"/>
    <w:rsid w:val="006D192F"/>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7FA"/>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046B"/>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762"/>
    <w:rsid w:val="00746BF2"/>
    <w:rsid w:val="00746E6C"/>
    <w:rsid w:val="00746FC7"/>
    <w:rsid w:val="00747187"/>
    <w:rsid w:val="00747191"/>
    <w:rsid w:val="0075077F"/>
    <w:rsid w:val="007507ED"/>
    <w:rsid w:val="00750C4E"/>
    <w:rsid w:val="007516BF"/>
    <w:rsid w:val="00751DDC"/>
    <w:rsid w:val="00752C60"/>
    <w:rsid w:val="0075381A"/>
    <w:rsid w:val="00753EBD"/>
    <w:rsid w:val="00754552"/>
    <w:rsid w:val="007558D5"/>
    <w:rsid w:val="00755987"/>
    <w:rsid w:val="00755B8A"/>
    <w:rsid w:val="00755E08"/>
    <w:rsid w:val="0075620F"/>
    <w:rsid w:val="007566CA"/>
    <w:rsid w:val="00756B7F"/>
    <w:rsid w:val="00756C2C"/>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30AB"/>
    <w:rsid w:val="007634B5"/>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A4E"/>
    <w:rsid w:val="007830D3"/>
    <w:rsid w:val="007833CA"/>
    <w:rsid w:val="0078343F"/>
    <w:rsid w:val="00784284"/>
    <w:rsid w:val="007859F9"/>
    <w:rsid w:val="007868EB"/>
    <w:rsid w:val="00786980"/>
    <w:rsid w:val="0078704D"/>
    <w:rsid w:val="0078772A"/>
    <w:rsid w:val="00787DFF"/>
    <w:rsid w:val="00791D0F"/>
    <w:rsid w:val="00793E86"/>
    <w:rsid w:val="0079416C"/>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0CBB"/>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4B2"/>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A50"/>
    <w:rsid w:val="007E4BA0"/>
    <w:rsid w:val="007E5D83"/>
    <w:rsid w:val="007E6024"/>
    <w:rsid w:val="007E6DF9"/>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16C"/>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6AB1"/>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358"/>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D92"/>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723"/>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B92"/>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5C"/>
    <w:rsid w:val="00960D63"/>
    <w:rsid w:val="00962D49"/>
    <w:rsid w:val="00962EEA"/>
    <w:rsid w:val="009632F8"/>
    <w:rsid w:val="00963F1D"/>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7F5"/>
    <w:rsid w:val="009A4A66"/>
    <w:rsid w:val="009A55F8"/>
    <w:rsid w:val="009A6A43"/>
    <w:rsid w:val="009A6DB7"/>
    <w:rsid w:val="009A750D"/>
    <w:rsid w:val="009A7A23"/>
    <w:rsid w:val="009A7F0F"/>
    <w:rsid w:val="009B008A"/>
    <w:rsid w:val="009B075D"/>
    <w:rsid w:val="009B1238"/>
    <w:rsid w:val="009B1329"/>
    <w:rsid w:val="009B1989"/>
    <w:rsid w:val="009B19BA"/>
    <w:rsid w:val="009B24A6"/>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1CC2"/>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5D8"/>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999"/>
    <w:rsid w:val="00A14FB1"/>
    <w:rsid w:val="00A16FAB"/>
    <w:rsid w:val="00A17791"/>
    <w:rsid w:val="00A17C98"/>
    <w:rsid w:val="00A2058F"/>
    <w:rsid w:val="00A21043"/>
    <w:rsid w:val="00A2255F"/>
    <w:rsid w:val="00A2284D"/>
    <w:rsid w:val="00A22D2C"/>
    <w:rsid w:val="00A22D70"/>
    <w:rsid w:val="00A230BA"/>
    <w:rsid w:val="00A24253"/>
    <w:rsid w:val="00A244BC"/>
    <w:rsid w:val="00A26D92"/>
    <w:rsid w:val="00A2731E"/>
    <w:rsid w:val="00A27B70"/>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D60"/>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4F58"/>
    <w:rsid w:val="00A6524E"/>
    <w:rsid w:val="00A655D7"/>
    <w:rsid w:val="00A65ED5"/>
    <w:rsid w:val="00A661FF"/>
    <w:rsid w:val="00A666DD"/>
    <w:rsid w:val="00A66E30"/>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53"/>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D9B"/>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6946"/>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6F08"/>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A62"/>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4365"/>
    <w:rsid w:val="00B75BFD"/>
    <w:rsid w:val="00B76109"/>
    <w:rsid w:val="00B76A05"/>
    <w:rsid w:val="00B76DB4"/>
    <w:rsid w:val="00B80165"/>
    <w:rsid w:val="00B80240"/>
    <w:rsid w:val="00B802B2"/>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40"/>
    <w:rsid w:val="00BB00B7"/>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3ED1"/>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203"/>
    <w:rsid w:val="00BE6603"/>
    <w:rsid w:val="00BE6AFB"/>
    <w:rsid w:val="00BF0174"/>
    <w:rsid w:val="00BF158E"/>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7792"/>
    <w:rsid w:val="00C0194F"/>
    <w:rsid w:val="00C02758"/>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4DC2"/>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899"/>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54C"/>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D8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EF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CF1"/>
    <w:rsid w:val="00CE1D29"/>
    <w:rsid w:val="00CE235F"/>
    <w:rsid w:val="00CE28FF"/>
    <w:rsid w:val="00CE3E48"/>
    <w:rsid w:val="00CE553D"/>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6DD4"/>
    <w:rsid w:val="00D07155"/>
    <w:rsid w:val="00D0718D"/>
    <w:rsid w:val="00D07C22"/>
    <w:rsid w:val="00D1050D"/>
    <w:rsid w:val="00D10C7E"/>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1C43"/>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2C0C"/>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B0D"/>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1ED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5F7"/>
    <w:rsid w:val="00E56921"/>
    <w:rsid w:val="00E5782B"/>
    <w:rsid w:val="00E60008"/>
    <w:rsid w:val="00E60438"/>
    <w:rsid w:val="00E61F09"/>
    <w:rsid w:val="00E62411"/>
    <w:rsid w:val="00E62AA9"/>
    <w:rsid w:val="00E63216"/>
    <w:rsid w:val="00E635D5"/>
    <w:rsid w:val="00E6403C"/>
    <w:rsid w:val="00E64431"/>
    <w:rsid w:val="00E64AB0"/>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879"/>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924"/>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1741D"/>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758"/>
    <w:rsid w:val="00F36E72"/>
    <w:rsid w:val="00F3795E"/>
    <w:rsid w:val="00F37B23"/>
    <w:rsid w:val="00F406F9"/>
    <w:rsid w:val="00F40A80"/>
    <w:rsid w:val="00F41587"/>
    <w:rsid w:val="00F4161F"/>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04D"/>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0EF9"/>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2B1D"/>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3917033">
      <w:bodyDiv w:val="1"/>
      <w:marLeft w:val="0"/>
      <w:marRight w:val="0"/>
      <w:marTop w:val="0"/>
      <w:marBottom w:val="0"/>
      <w:divBdr>
        <w:top w:val="none" w:sz="0" w:space="0" w:color="auto"/>
        <w:left w:val="none" w:sz="0" w:space="0" w:color="auto"/>
        <w:bottom w:val="none" w:sz="0" w:space="0" w:color="auto"/>
        <w:right w:val="none" w:sz="0" w:space="0" w:color="auto"/>
      </w:divBdr>
      <w:divsChild>
        <w:div w:id="731807681">
          <w:marLeft w:val="360"/>
          <w:marRight w:val="0"/>
          <w:marTop w:val="200"/>
          <w:marBottom w:val="0"/>
          <w:divBdr>
            <w:top w:val="none" w:sz="0" w:space="0" w:color="auto"/>
            <w:left w:val="none" w:sz="0" w:space="0" w:color="auto"/>
            <w:bottom w:val="none" w:sz="0" w:space="0" w:color="auto"/>
            <w:right w:val="none" w:sz="0" w:space="0" w:color="auto"/>
          </w:divBdr>
        </w:div>
        <w:div w:id="513955050">
          <w:marLeft w:val="360"/>
          <w:marRight w:val="0"/>
          <w:marTop w:val="200"/>
          <w:marBottom w:val="0"/>
          <w:divBdr>
            <w:top w:val="none" w:sz="0" w:space="0" w:color="auto"/>
            <w:left w:val="none" w:sz="0" w:space="0" w:color="auto"/>
            <w:bottom w:val="none" w:sz="0" w:space="0" w:color="auto"/>
            <w:right w:val="none" w:sz="0" w:space="0" w:color="auto"/>
          </w:divBdr>
        </w:div>
        <w:div w:id="993336558">
          <w:marLeft w:val="360"/>
          <w:marRight w:val="0"/>
          <w:marTop w:val="200"/>
          <w:marBottom w:val="0"/>
          <w:divBdr>
            <w:top w:val="none" w:sz="0" w:space="0" w:color="auto"/>
            <w:left w:val="none" w:sz="0" w:space="0" w:color="auto"/>
            <w:bottom w:val="none" w:sz="0" w:space="0" w:color="auto"/>
            <w:right w:val="none" w:sz="0" w:space="0" w:color="auto"/>
          </w:divBdr>
        </w:div>
        <w:div w:id="151214597">
          <w:marLeft w:val="360"/>
          <w:marRight w:val="0"/>
          <w:marTop w:val="200"/>
          <w:marBottom w:val="0"/>
          <w:divBdr>
            <w:top w:val="none" w:sz="0" w:space="0" w:color="auto"/>
            <w:left w:val="none" w:sz="0" w:space="0" w:color="auto"/>
            <w:bottom w:val="none" w:sz="0" w:space="0" w:color="auto"/>
            <w:right w:val="none" w:sz="0" w:space="0" w:color="auto"/>
          </w:divBdr>
        </w:div>
        <w:div w:id="1206988711">
          <w:marLeft w:val="1080"/>
          <w:marRight w:val="0"/>
          <w:marTop w:val="100"/>
          <w:marBottom w:val="0"/>
          <w:divBdr>
            <w:top w:val="none" w:sz="0" w:space="0" w:color="auto"/>
            <w:left w:val="none" w:sz="0" w:space="0" w:color="auto"/>
            <w:bottom w:val="none" w:sz="0" w:space="0" w:color="auto"/>
            <w:right w:val="none" w:sz="0" w:space="0" w:color="auto"/>
          </w:divBdr>
        </w:div>
        <w:div w:id="454519135">
          <w:marLeft w:val="1800"/>
          <w:marRight w:val="0"/>
          <w:marTop w:val="100"/>
          <w:marBottom w:val="0"/>
          <w:divBdr>
            <w:top w:val="none" w:sz="0" w:space="0" w:color="auto"/>
            <w:left w:val="none" w:sz="0" w:space="0" w:color="auto"/>
            <w:bottom w:val="none" w:sz="0" w:space="0" w:color="auto"/>
            <w:right w:val="none" w:sz="0" w:space="0" w:color="auto"/>
          </w:divBdr>
        </w:div>
        <w:div w:id="514883107">
          <w:marLeft w:val="1080"/>
          <w:marRight w:val="0"/>
          <w:marTop w:val="100"/>
          <w:marBottom w:val="0"/>
          <w:divBdr>
            <w:top w:val="none" w:sz="0" w:space="0" w:color="auto"/>
            <w:left w:val="none" w:sz="0" w:space="0" w:color="auto"/>
            <w:bottom w:val="none" w:sz="0" w:space="0" w:color="auto"/>
            <w:right w:val="none" w:sz="0" w:space="0" w:color="auto"/>
          </w:divBdr>
        </w:div>
        <w:div w:id="459691514">
          <w:marLeft w:val="1800"/>
          <w:marRight w:val="0"/>
          <w:marTop w:val="100"/>
          <w:marBottom w:val="0"/>
          <w:divBdr>
            <w:top w:val="none" w:sz="0" w:space="0" w:color="auto"/>
            <w:left w:val="none" w:sz="0" w:space="0" w:color="auto"/>
            <w:bottom w:val="none" w:sz="0" w:space="0" w:color="auto"/>
            <w:right w:val="none" w:sz="0" w:space="0" w:color="auto"/>
          </w:divBdr>
        </w:div>
        <w:div w:id="1878815760">
          <w:marLeft w:val="1800"/>
          <w:marRight w:val="0"/>
          <w:marTop w:val="100"/>
          <w:marBottom w:val="0"/>
          <w:divBdr>
            <w:top w:val="none" w:sz="0" w:space="0" w:color="auto"/>
            <w:left w:val="none" w:sz="0" w:space="0" w:color="auto"/>
            <w:bottom w:val="none" w:sz="0" w:space="0" w:color="auto"/>
            <w:right w:val="none" w:sz="0" w:space="0" w:color="auto"/>
          </w:divBdr>
        </w:div>
        <w:div w:id="1857035134">
          <w:marLeft w:val="1800"/>
          <w:marRight w:val="0"/>
          <w:marTop w:val="1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5328083">
      <w:bodyDiv w:val="1"/>
      <w:marLeft w:val="0"/>
      <w:marRight w:val="0"/>
      <w:marTop w:val="0"/>
      <w:marBottom w:val="0"/>
      <w:divBdr>
        <w:top w:val="none" w:sz="0" w:space="0" w:color="auto"/>
        <w:left w:val="none" w:sz="0" w:space="0" w:color="auto"/>
        <w:bottom w:val="none" w:sz="0" w:space="0" w:color="auto"/>
        <w:right w:val="none" w:sz="0" w:space="0" w:color="auto"/>
      </w:divBdr>
      <w:divsChild>
        <w:div w:id="1804040222">
          <w:marLeft w:val="360"/>
          <w:marRight w:val="0"/>
          <w:marTop w:val="200"/>
          <w:marBottom w:val="0"/>
          <w:divBdr>
            <w:top w:val="none" w:sz="0" w:space="0" w:color="auto"/>
            <w:left w:val="none" w:sz="0" w:space="0" w:color="auto"/>
            <w:bottom w:val="none" w:sz="0" w:space="0" w:color="auto"/>
            <w:right w:val="none" w:sz="0" w:space="0" w:color="auto"/>
          </w:divBdr>
        </w:div>
        <w:div w:id="749501554">
          <w:marLeft w:val="360"/>
          <w:marRight w:val="0"/>
          <w:marTop w:val="200"/>
          <w:marBottom w:val="0"/>
          <w:divBdr>
            <w:top w:val="none" w:sz="0" w:space="0" w:color="auto"/>
            <w:left w:val="none" w:sz="0" w:space="0" w:color="auto"/>
            <w:bottom w:val="none" w:sz="0" w:space="0" w:color="auto"/>
            <w:right w:val="none" w:sz="0" w:space="0" w:color="auto"/>
          </w:divBdr>
        </w:div>
        <w:div w:id="763696151">
          <w:marLeft w:val="360"/>
          <w:marRight w:val="0"/>
          <w:marTop w:val="200"/>
          <w:marBottom w:val="0"/>
          <w:divBdr>
            <w:top w:val="none" w:sz="0" w:space="0" w:color="auto"/>
            <w:left w:val="none" w:sz="0" w:space="0" w:color="auto"/>
            <w:bottom w:val="none" w:sz="0" w:space="0" w:color="auto"/>
            <w:right w:val="none" w:sz="0" w:space="0" w:color="auto"/>
          </w:divBdr>
        </w:div>
        <w:div w:id="1749377064">
          <w:marLeft w:val="360"/>
          <w:marRight w:val="0"/>
          <w:marTop w:val="200"/>
          <w:marBottom w:val="0"/>
          <w:divBdr>
            <w:top w:val="none" w:sz="0" w:space="0" w:color="auto"/>
            <w:left w:val="none" w:sz="0" w:space="0" w:color="auto"/>
            <w:bottom w:val="none" w:sz="0" w:space="0" w:color="auto"/>
            <w:right w:val="none" w:sz="0" w:space="0" w:color="auto"/>
          </w:divBdr>
        </w:div>
        <w:div w:id="1299266494">
          <w:marLeft w:val="1080"/>
          <w:marRight w:val="0"/>
          <w:marTop w:val="100"/>
          <w:marBottom w:val="0"/>
          <w:divBdr>
            <w:top w:val="none" w:sz="0" w:space="0" w:color="auto"/>
            <w:left w:val="none" w:sz="0" w:space="0" w:color="auto"/>
            <w:bottom w:val="none" w:sz="0" w:space="0" w:color="auto"/>
            <w:right w:val="none" w:sz="0" w:space="0" w:color="auto"/>
          </w:divBdr>
        </w:div>
        <w:div w:id="250285592">
          <w:marLeft w:val="1800"/>
          <w:marRight w:val="0"/>
          <w:marTop w:val="100"/>
          <w:marBottom w:val="0"/>
          <w:divBdr>
            <w:top w:val="none" w:sz="0" w:space="0" w:color="auto"/>
            <w:left w:val="none" w:sz="0" w:space="0" w:color="auto"/>
            <w:bottom w:val="none" w:sz="0" w:space="0" w:color="auto"/>
            <w:right w:val="none" w:sz="0" w:space="0" w:color="auto"/>
          </w:divBdr>
        </w:div>
        <w:div w:id="1468011591">
          <w:marLeft w:val="1080"/>
          <w:marRight w:val="0"/>
          <w:marTop w:val="100"/>
          <w:marBottom w:val="0"/>
          <w:divBdr>
            <w:top w:val="none" w:sz="0" w:space="0" w:color="auto"/>
            <w:left w:val="none" w:sz="0" w:space="0" w:color="auto"/>
            <w:bottom w:val="none" w:sz="0" w:space="0" w:color="auto"/>
            <w:right w:val="none" w:sz="0" w:space="0" w:color="auto"/>
          </w:divBdr>
        </w:div>
        <w:div w:id="838229626">
          <w:marLeft w:val="1800"/>
          <w:marRight w:val="0"/>
          <w:marTop w:val="100"/>
          <w:marBottom w:val="0"/>
          <w:divBdr>
            <w:top w:val="none" w:sz="0" w:space="0" w:color="auto"/>
            <w:left w:val="none" w:sz="0" w:space="0" w:color="auto"/>
            <w:bottom w:val="none" w:sz="0" w:space="0" w:color="auto"/>
            <w:right w:val="none" w:sz="0" w:space="0" w:color="auto"/>
          </w:divBdr>
        </w:div>
        <w:div w:id="866531239">
          <w:marLeft w:val="1800"/>
          <w:marRight w:val="0"/>
          <w:marTop w:val="100"/>
          <w:marBottom w:val="0"/>
          <w:divBdr>
            <w:top w:val="none" w:sz="0" w:space="0" w:color="auto"/>
            <w:left w:val="none" w:sz="0" w:space="0" w:color="auto"/>
            <w:bottom w:val="none" w:sz="0" w:space="0" w:color="auto"/>
            <w:right w:val="none" w:sz="0" w:space="0" w:color="auto"/>
          </w:divBdr>
        </w:div>
        <w:div w:id="727925426">
          <w:marLeft w:val="1800"/>
          <w:marRight w:val="0"/>
          <w:marTop w:val="10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188F6-2293-44B2-8F54-8068DF9D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2252</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148</cp:revision>
  <cp:lastPrinted>2007-04-24T00:59:00Z</cp:lastPrinted>
  <dcterms:created xsi:type="dcterms:W3CDTF">2020-04-09T06:55:00Z</dcterms:created>
  <dcterms:modified xsi:type="dcterms:W3CDTF">2020-08-07T05:32:00Z</dcterms:modified>
</cp:coreProperties>
</file>